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FC156" w14:textId="72775FB3" w:rsidR="008F3F8D" w:rsidRPr="00762E74" w:rsidRDefault="008F3F8D" w:rsidP="008F3F8D">
      <w:pPr>
        <w:pStyle w:val="Header"/>
        <w:tabs>
          <w:tab w:val="right" w:pos="9639"/>
        </w:tabs>
        <w:rPr>
          <w:noProof w:val="0"/>
          <w:sz w:val="24"/>
        </w:rPr>
      </w:pPr>
      <w:r w:rsidRPr="00762E74">
        <w:rPr>
          <w:noProof w:val="0"/>
          <w:sz w:val="24"/>
        </w:rPr>
        <w:t xml:space="preserve">3GPP TSG-RAN WG4 Meeting </w:t>
      </w:r>
      <w:r w:rsidR="00D3003E">
        <w:rPr>
          <w:noProof w:val="0"/>
          <w:sz w:val="24"/>
        </w:rPr>
        <w:t>#</w:t>
      </w:r>
      <w:r w:rsidR="00DB23EE">
        <w:rPr>
          <w:noProof w:val="0"/>
          <w:sz w:val="24"/>
        </w:rPr>
        <w:t>84</w:t>
      </w:r>
      <w:r w:rsidR="00762E74">
        <w:rPr>
          <w:noProof w:val="0"/>
          <w:sz w:val="24"/>
        </w:rPr>
        <w:tab/>
      </w:r>
      <w:bookmarkStart w:id="0" w:name="_GoBack"/>
      <w:bookmarkEnd w:id="0"/>
      <w:r w:rsidR="00D476A6" w:rsidRPr="00762E74">
        <w:rPr>
          <w:noProof w:val="0"/>
          <w:sz w:val="24"/>
        </w:rPr>
        <w:t>R4-</w:t>
      </w:r>
      <w:r w:rsidR="00DB23EE">
        <w:rPr>
          <w:noProof w:val="0"/>
          <w:sz w:val="24"/>
        </w:rPr>
        <w:t>170</w:t>
      </w:r>
      <w:r w:rsidR="001C26F1">
        <w:rPr>
          <w:noProof w:val="0"/>
          <w:sz w:val="24"/>
        </w:rPr>
        <w:t>7576</w:t>
      </w:r>
    </w:p>
    <w:p w14:paraId="4AC8E95E" w14:textId="4BC14B77" w:rsidR="008F3F8D" w:rsidRPr="00762E74" w:rsidRDefault="00DB23EE" w:rsidP="008F3F8D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8F3F8D" w:rsidRPr="00762E74">
        <w:rPr>
          <w:rFonts w:hint="eastAsia"/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4874FB" w:rsidRPr="00762E74">
        <w:rPr>
          <w:noProof w:val="0"/>
          <w:sz w:val="24"/>
        </w:rPr>
        <w:t xml:space="preserve">, </w:t>
      </w:r>
      <w:r>
        <w:rPr>
          <w:noProof w:val="0"/>
          <w:sz w:val="24"/>
        </w:rPr>
        <w:t>21</w:t>
      </w:r>
      <w:r w:rsidR="008F3F8D" w:rsidRPr="00762E74">
        <w:rPr>
          <w:noProof w:val="0"/>
          <w:sz w:val="24"/>
        </w:rPr>
        <w:t xml:space="preserve"> </w:t>
      </w:r>
      <w:r w:rsidR="00C14D4B" w:rsidRPr="00762E74">
        <w:rPr>
          <w:noProof w:val="0"/>
          <w:sz w:val="24"/>
        </w:rPr>
        <w:t>–</w:t>
      </w:r>
      <w:r w:rsidR="008F3F8D" w:rsidRPr="00762E74">
        <w:rPr>
          <w:rFonts w:hint="eastAsia"/>
          <w:noProof w:val="0"/>
          <w:sz w:val="24"/>
        </w:rPr>
        <w:t xml:space="preserve"> </w:t>
      </w:r>
      <w:r>
        <w:rPr>
          <w:noProof w:val="0"/>
          <w:sz w:val="24"/>
        </w:rPr>
        <w:t>25</w:t>
      </w:r>
      <w:r w:rsidR="00C14D4B" w:rsidRPr="00762E74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8F3F8D" w:rsidRPr="00762E74">
        <w:rPr>
          <w:noProof w:val="0"/>
          <w:sz w:val="24"/>
        </w:rPr>
        <w:t>, 2017</w:t>
      </w:r>
    </w:p>
    <w:p w14:paraId="18AD8EEC" w14:textId="77777777" w:rsidR="00DA16AB" w:rsidRPr="00762E74" w:rsidRDefault="00DA16AB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1298CF61" w14:textId="6B159C26" w:rsidR="00D4064C" w:rsidRDefault="00D4064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37143B3E" w14:textId="77777777" w:rsidR="00E4221B" w:rsidRPr="00762E74" w:rsidRDefault="00E4221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0B586C1F" w14:textId="3823818B" w:rsidR="00CD4C7B" w:rsidRPr="00867BC4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62E74">
        <w:rPr>
          <w:rFonts w:cs="Arial"/>
          <w:b/>
          <w:bCs/>
          <w:sz w:val="24"/>
        </w:rPr>
        <w:t>Agenda item:</w:t>
      </w:r>
      <w:r w:rsidRPr="00762E74">
        <w:rPr>
          <w:rFonts w:cs="Arial"/>
          <w:b/>
          <w:bCs/>
          <w:sz w:val="24"/>
        </w:rPr>
        <w:tab/>
      </w:r>
      <w:r w:rsidR="00867BC4" w:rsidRPr="00867BC4">
        <w:rPr>
          <w:rFonts w:cs="Arial"/>
          <w:b/>
          <w:bCs/>
          <w:sz w:val="24"/>
        </w:rPr>
        <w:t>9.3.1.2</w:t>
      </w:r>
    </w:p>
    <w:p w14:paraId="5A38975C" w14:textId="77777777" w:rsidR="00CD4C7B" w:rsidRPr="00867BC4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67BC4">
        <w:rPr>
          <w:rFonts w:ascii="Arial" w:hAnsi="Arial" w:cs="Arial"/>
          <w:b/>
          <w:bCs/>
          <w:sz w:val="24"/>
        </w:rPr>
        <w:t>Source:</w:t>
      </w:r>
      <w:r w:rsidRPr="00867BC4">
        <w:rPr>
          <w:rFonts w:ascii="Arial" w:hAnsi="Arial" w:cs="Arial"/>
          <w:b/>
          <w:bCs/>
          <w:sz w:val="24"/>
        </w:rPr>
        <w:tab/>
      </w:r>
      <w:r w:rsidR="004874FB" w:rsidRPr="00867BC4">
        <w:rPr>
          <w:rFonts w:ascii="Arial" w:hAnsi="Arial" w:cs="Arial"/>
          <w:b/>
          <w:bCs/>
          <w:sz w:val="24"/>
        </w:rPr>
        <w:t>Dish Network</w:t>
      </w:r>
    </w:p>
    <w:p w14:paraId="481383CE" w14:textId="56BD7F2B" w:rsidR="00CD4C7B" w:rsidRPr="00762E74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67BC4">
        <w:rPr>
          <w:rFonts w:ascii="Arial" w:hAnsi="Arial" w:cs="Arial"/>
          <w:b/>
          <w:bCs/>
          <w:sz w:val="24"/>
        </w:rPr>
        <w:t>Title:</w:t>
      </w:r>
      <w:r w:rsidRPr="00867BC4">
        <w:rPr>
          <w:rFonts w:ascii="Arial" w:hAnsi="Arial" w:cs="Arial"/>
          <w:b/>
          <w:bCs/>
          <w:sz w:val="24"/>
        </w:rPr>
        <w:tab/>
      </w:r>
      <w:r w:rsidR="00613A76" w:rsidRPr="00867BC4">
        <w:rPr>
          <w:rFonts w:ascii="Arial" w:hAnsi="Arial" w:cs="Arial"/>
          <w:b/>
          <w:bCs/>
          <w:sz w:val="24"/>
          <w:szCs w:val="24"/>
        </w:rPr>
        <w:t>Asy</w:t>
      </w:r>
      <w:r w:rsidR="00613A76" w:rsidRPr="00762E74">
        <w:rPr>
          <w:rFonts w:ascii="Arial" w:hAnsi="Arial" w:cs="Arial"/>
          <w:b/>
          <w:bCs/>
          <w:sz w:val="24"/>
          <w:szCs w:val="24"/>
        </w:rPr>
        <w:t xml:space="preserve">mmetric </w:t>
      </w:r>
      <w:r w:rsidR="005A3851" w:rsidRPr="00762E74">
        <w:rPr>
          <w:rFonts w:ascii="Arial" w:hAnsi="Arial" w:cs="Arial"/>
          <w:b/>
          <w:bCs/>
          <w:sz w:val="24"/>
          <w:szCs w:val="24"/>
        </w:rPr>
        <w:t xml:space="preserve">UE UL/DL single carrier </w:t>
      </w:r>
      <w:r w:rsidR="00DB23EE">
        <w:rPr>
          <w:rFonts w:ascii="Arial" w:hAnsi="Arial" w:cs="Arial"/>
          <w:b/>
          <w:bCs/>
          <w:sz w:val="24"/>
          <w:szCs w:val="24"/>
        </w:rPr>
        <w:t>CH BW operation</w:t>
      </w:r>
    </w:p>
    <w:p w14:paraId="2FB45871" w14:textId="307CEC0C" w:rsidR="00CD4C7B" w:rsidRPr="00762E74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62E74">
        <w:rPr>
          <w:rFonts w:ascii="Arial" w:hAnsi="Arial" w:cs="Arial"/>
          <w:b/>
          <w:bCs/>
          <w:sz w:val="24"/>
        </w:rPr>
        <w:t>Docum</w:t>
      </w:r>
      <w:r w:rsidR="006A0B35" w:rsidRPr="00762E74">
        <w:rPr>
          <w:rFonts w:ascii="Arial" w:hAnsi="Arial" w:cs="Arial"/>
          <w:b/>
          <w:bCs/>
          <w:sz w:val="24"/>
        </w:rPr>
        <w:t>ent for:</w:t>
      </w:r>
      <w:r w:rsidR="006A0B35" w:rsidRPr="00762E74">
        <w:rPr>
          <w:rFonts w:ascii="Arial" w:hAnsi="Arial" w:cs="Arial"/>
          <w:b/>
          <w:bCs/>
          <w:sz w:val="24"/>
        </w:rPr>
        <w:tab/>
      </w:r>
      <w:r w:rsidR="00C37BA2" w:rsidRPr="00762E74">
        <w:rPr>
          <w:rFonts w:ascii="Arial" w:hAnsi="Arial" w:cs="Arial"/>
          <w:b/>
          <w:bCs/>
          <w:sz w:val="24"/>
        </w:rPr>
        <w:t>Approval</w:t>
      </w:r>
    </w:p>
    <w:p w14:paraId="34B1C264" w14:textId="77777777" w:rsidR="00CD4C7B" w:rsidRPr="00762E74" w:rsidRDefault="00CD4C7B" w:rsidP="00CD4C7B">
      <w:pPr>
        <w:pStyle w:val="Heading1"/>
      </w:pPr>
      <w:r w:rsidRPr="00762E74">
        <w:t>1</w:t>
      </w:r>
      <w:r w:rsidRPr="00762E74">
        <w:tab/>
      </w:r>
      <w:r w:rsidR="0056573F" w:rsidRPr="00762E74">
        <w:t>Introduction</w:t>
      </w:r>
    </w:p>
    <w:p w14:paraId="227B39EA" w14:textId="08F2B26B" w:rsidR="005711AE" w:rsidRDefault="00C37BA2" w:rsidP="00171463">
      <w:pPr>
        <w:spacing w:after="0"/>
        <w:rPr>
          <w:bCs/>
        </w:rPr>
      </w:pPr>
      <w:r w:rsidRPr="00762E74">
        <w:rPr>
          <w:bCs/>
        </w:rPr>
        <w:t>RAN4 has agreed a</w:t>
      </w:r>
      <w:r w:rsidR="00D476A6" w:rsidRPr="00762E74">
        <w:rPr>
          <w:bCs/>
        </w:rPr>
        <w:t xml:space="preserve">symmetric UL/DL </w:t>
      </w:r>
      <w:r w:rsidR="00AF5F0B" w:rsidRPr="00762E74">
        <w:rPr>
          <w:bCs/>
        </w:rPr>
        <w:t>UE single carrier</w:t>
      </w:r>
      <w:r w:rsidR="00D476A6" w:rsidRPr="00762E74">
        <w:rPr>
          <w:bCs/>
        </w:rPr>
        <w:t xml:space="preserve"> bandwidth</w:t>
      </w:r>
      <w:r w:rsidRPr="00762E74">
        <w:rPr>
          <w:bCs/>
        </w:rPr>
        <w:t xml:space="preserve">s will be supported in NR, in RAN4#83, in </w:t>
      </w:r>
      <w:r w:rsidR="00F114AC" w:rsidRPr="00762E74">
        <w:rPr>
          <w:bCs/>
        </w:rPr>
        <w:t>Hangzhou. [</w:t>
      </w:r>
      <w:r w:rsidR="004316F5">
        <w:rPr>
          <w:bCs/>
        </w:rPr>
        <w:t>1</w:t>
      </w:r>
      <w:r w:rsidRPr="00762E74">
        <w:rPr>
          <w:bCs/>
        </w:rPr>
        <w:t>]</w:t>
      </w:r>
      <w:r w:rsidR="00D476A6" w:rsidRPr="00762E74">
        <w:rPr>
          <w:bCs/>
        </w:rPr>
        <w:t xml:space="preserve"> </w:t>
      </w:r>
      <w:r w:rsidR="00DB23EE">
        <w:rPr>
          <w:bCs/>
        </w:rPr>
        <w:t xml:space="preserve">In Qingdao, in RAN4 NR AH#2, there was a </w:t>
      </w:r>
      <w:r w:rsidR="00D476A6" w:rsidRPr="00762E74">
        <w:rPr>
          <w:bCs/>
        </w:rPr>
        <w:t xml:space="preserve">contribution </w:t>
      </w:r>
      <w:r w:rsidR="00DB23EE">
        <w:rPr>
          <w:bCs/>
        </w:rPr>
        <w:t xml:space="preserve">providing </w:t>
      </w:r>
      <w:r w:rsidR="00856C34" w:rsidRPr="00762E74">
        <w:rPr>
          <w:bCs/>
        </w:rPr>
        <w:t>initial considerations</w:t>
      </w:r>
      <w:r w:rsidRPr="00762E74">
        <w:rPr>
          <w:bCs/>
        </w:rPr>
        <w:t>,</w:t>
      </w:r>
      <w:r w:rsidR="008D023E">
        <w:rPr>
          <w:bCs/>
        </w:rPr>
        <w:t xml:space="preserve"> </w:t>
      </w:r>
      <w:r w:rsidR="00856C34" w:rsidRPr="00762E74">
        <w:rPr>
          <w:bCs/>
        </w:rPr>
        <w:t xml:space="preserve">relevant </w:t>
      </w:r>
      <w:r w:rsidR="00D476A6" w:rsidRPr="00762E74">
        <w:rPr>
          <w:bCs/>
        </w:rPr>
        <w:t xml:space="preserve">analysis </w:t>
      </w:r>
      <w:r w:rsidRPr="00762E74">
        <w:rPr>
          <w:bCs/>
        </w:rPr>
        <w:t>and a proposal for a minimum scope in asymmetric CH BWs operation</w:t>
      </w:r>
      <w:r w:rsidR="00D476A6" w:rsidRPr="00762E74">
        <w:rPr>
          <w:bCs/>
        </w:rPr>
        <w:t>.</w:t>
      </w:r>
      <w:r w:rsidR="00DB23EE">
        <w:rPr>
          <w:bCs/>
        </w:rPr>
        <w:t xml:space="preserve"> [2]</w:t>
      </w:r>
      <w:r w:rsidR="007F0047">
        <w:rPr>
          <w:bCs/>
        </w:rPr>
        <w:t xml:space="preserve"> </w:t>
      </w:r>
    </w:p>
    <w:p w14:paraId="0CF54A40" w14:textId="392E3771" w:rsidR="00D42F6C" w:rsidRDefault="00D42F6C" w:rsidP="00171463">
      <w:pPr>
        <w:spacing w:after="0"/>
        <w:rPr>
          <w:bCs/>
        </w:rPr>
      </w:pPr>
    </w:p>
    <w:p w14:paraId="40E417BF" w14:textId="4BC2FF6A" w:rsidR="006C56D6" w:rsidRDefault="006C56D6" w:rsidP="00171463">
      <w:pPr>
        <w:spacing w:after="0"/>
        <w:rPr>
          <w:bCs/>
        </w:rPr>
      </w:pPr>
      <w:r>
        <w:rPr>
          <w:bCs/>
        </w:rPr>
        <w:t xml:space="preserve">Based on Qingdao findings [2], this contribution makes </w:t>
      </w:r>
      <w:r w:rsidR="00B7607B">
        <w:rPr>
          <w:bCs/>
        </w:rPr>
        <w:t xml:space="preserve">proposals </w:t>
      </w:r>
      <w:r>
        <w:rPr>
          <w:bCs/>
        </w:rPr>
        <w:t xml:space="preserve">on </w:t>
      </w:r>
    </w:p>
    <w:p w14:paraId="541074D6" w14:textId="77777777" w:rsidR="007F0047" w:rsidRDefault="007F0047" w:rsidP="007F0047">
      <w:pPr>
        <w:pStyle w:val="ListParagraph"/>
        <w:numPr>
          <w:ilvl w:val="0"/>
          <w:numId w:val="43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TDD Mode</w:t>
      </w:r>
    </w:p>
    <w:p w14:paraId="1E25C9EC" w14:textId="3CDF0D5D" w:rsidR="007F0047" w:rsidRDefault="007F0047" w:rsidP="007F0047">
      <w:pPr>
        <w:pStyle w:val="ListParagraph"/>
        <w:numPr>
          <w:ilvl w:val="0"/>
          <w:numId w:val="43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R</w:t>
      </w:r>
      <w:r w:rsidRPr="006C56D6">
        <w:rPr>
          <w:bCs/>
          <w:sz w:val="20"/>
          <w:lang w:val="en-US"/>
        </w:rPr>
        <w:t>eference sensitivity</w:t>
      </w:r>
      <w:r>
        <w:rPr>
          <w:bCs/>
          <w:sz w:val="20"/>
          <w:lang w:val="en-US"/>
        </w:rPr>
        <w:t xml:space="preserve"> requirements for asymmetric CH BWs</w:t>
      </w:r>
    </w:p>
    <w:p w14:paraId="53C4D199" w14:textId="403D515F" w:rsidR="006C56D6" w:rsidRPr="006C56D6" w:rsidRDefault="006C56D6" w:rsidP="006C56D6">
      <w:pPr>
        <w:pStyle w:val="ListParagraph"/>
        <w:numPr>
          <w:ilvl w:val="0"/>
          <w:numId w:val="43"/>
        </w:numPr>
        <w:rPr>
          <w:bCs/>
          <w:sz w:val="20"/>
          <w:lang w:val="en-US"/>
        </w:rPr>
      </w:pPr>
      <w:r w:rsidRPr="00C41963">
        <w:rPr>
          <w:bCs/>
          <w:sz w:val="20"/>
          <w:szCs w:val="20"/>
          <w:lang w:val="en-US"/>
        </w:rPr>
        <w:t>The</w:t>
      </w:r>
      <w:r w:rsidR="00C41963">
        <w:rPr>
          <w:bCs/>
          <w:sz w:val="20"/>
          <w:szCs w:val="20"/>
          <w:lang w:val="en-US"/>
        </w:rPr>
        <w:t xml:space="preserve"> </w:t>
      </w:r>
      <w:r w:rsidR="00B72004">
        <w:rPr>
          <w:bCs/>
          <w:sz w:val="20"/>
          <w:szCs w:val="20"/>
          <w:lang w:val="en-US"/>
        </w:rPr>
        <w:t xml:space="preserve">allowed </w:t>
      </w:r>
      <w:r w:rsidR="007F0047">
        <w:rPr>
          <w:bCs/>
          <w:sz w:val="20"/>
          <w:szCs w:val="20"/>
          <w:lang w:val="en-US"/>
        </w:rPr>
        <w:t xml:space="preserve">deviation of </w:t>
      </w:r>
      <w:r w:rsidR="00C41963">
        <w:rPr>
          <w:sz w:val="20"/>
          <w:szCs w:val="20"/>
          <w:lang w:val="en-US"/>
        </w:rPr>
        <w:t xml:space="preserve">the operating band default </w:t>
      </w:r>
      <w:r w:rsidRPr="00C41963">
        <w:rPr>
          <w:bCs/>
          <w:sz w:val="20"/>
          <w:szCs w:val="20"/>
          <w:lang w:val="en-US"/>
        </w:rPr>
        <w:t>Tx-Rx separation</w:t>
      </w:r>
      <w:r w:rsidRPr="00C41963">
        <w:rPr>
          <w:bCs/>
          <w:sz w:val="20"/>
          <w:lang w:val="en-US"/>
        </w:rPr>
        <w:t xml:space="preserve"> </w:t>
      </w:r>
      <w:r w:rsidR="00C41963">
        <w:rPr>
          <w:bCs/>
          <w:sz w:val="20"/>
          <w:lang w:val="en-US"/>
        </w:rPr>
        <w:t xml:space="preserve">in </w:t>
      </w:r>
      <w:r w:rsidRPr="006C56D6">
        <w:rPr>
          <w:bCs/>
          <w:sz w:val="20"/>
          <w:lang w:val="en-US"/>
        </w:rPr>
        <w:t xml:space="preserve">asymmetric </w:t>
      </w:r>
      <w:r w:rsidR="00C41963">
        <w:rPr>
          <w:bCs/>
          <w:sz w:val="20"/>
          <w:lang w:val="en-US"/>
        </w:rPr>
        <w:t>CH BWs</w:t>
      </w:r>
      <w:r w:rsidR="007F0047">
        <w:rPr>
          <w:bCs/>
          <w:sz w:val="20"/>
          <w:lang w:val="en-US"/>
        </w:rPr>
        <w:t xml:space="preserve"> in FDD Mode</w:t>
      </w:r>
    </w:p>
    <w:p w14:paraId="027621C1" w14:textId="2CDCBB55" w:rsidR="00B72004" w:rsidRDefault="00B72004" w:rsidP="006C56D6">
      <w:pPr>
        <w:pStyle w:val="ListParagraph"/>
        <w:numPr>
          <w:ilvl w:val="0"/>
          <w:numId w:val="43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Applicability</w:t>
      </w:r>
    </w:p>
    <w:p w14:paraId="6C6999B3" w14:textId="77777777" w:rsidR="005711AE" w:rsidRPr="00C66839" w:rsidRDefault="005711AE" w:rsidP="00171463">
      <w:pPr>
        <w:spacing w:after="0"/>
        <w:rPr>
          <w:bCs/>
          <w:sz w:val="18"/>
          <w:szCs w:val="18"/>
          <w:lang w:val="en-US"/>
        </w:rPr>
      </w:pPr>
    </w:p>
    <w:p w14:paraId="2A3A641C" w14:textId="77777777" w:rsidR="00CD4C7B" w:rsidRPr="00762E74" w:rsidRDefault="00C608C8" w:rsidP="00CD4C7B">
      <w:pPr>
        <w:pStyle w:val="Heading1"/>
      </w:pPr>
      <w:r w:rsidRPr="00762E74">
        <w:t>2</w:t>
      </w:r>
      <w:r w:rsidRPr="00762E74">
        <w:tab/>
        <w:t>Discussion</w:t>
      </w:r>
    </w:p>
    <w:p w14:paraId="48CCB131" w14:textId="1D42F558" w:rsidR="00E56154" w:rsidRDefault="00E56154" w:rsidP="00E56154">
      <w:pPr>
        <w:spacing w:after="0"/>
        <w:rPr>
          <w:bCs/>
        </w:rPr>
      </w:pPr>
      <w:r>
        <w:rPr>
          <w:bCs/>
        </w:rPr>
        <w:t>As noted in NR Ad-hoc#2 [2], the main benefit</w:t>
      </w:r>
      <w:r w:rsidRPr="00B56C6F">
        <w:rPr>
          <w:bCs/>
        </w:rPr>
        <w:t xml:space="preserve"> of asymmetric UL/DL </w:t>
      </w:r>
      <w:r>
        <w:rPr>
          <w:bCs/>
        </w:rPr>
        <w:t xml:space="preserve">is </w:t>
      </w:r>
      <w:r w:rsidRPr="00B56C6F">
        <w:rPr>
          <w:bCs/>
        </w:rPr>
        <w:t>to avoid sometimes cumbersome CA configurations and, even more importantly, to optimize spectrum utilization.</w:t>
      </w:r>
      <w:r>
        <w:rPr>
          <w:bCs/>
        </w:rPr>
        <w:t xml:space="preserve"> Another is for operators with asymmetric spectrum holdings to have more flexibility and to avoid having using CA for operating in those frequencies.</w:t>
      </w:r>
    </w:p>
    <w:p w14:paraId="2CCAFAC6" w14:textId="0203548D" w:rsidR="00676EB2" w:rsidRDefault="00676EB2" w:rsidP="00E56154">
      <w:pPr>
        <w:spacing w:after="0"/>
        <w:rPr>
          <w:bCs/>
        </w:rPr>
      </w:pPr>
    </w:p>
    <w:p w14:paraId="54CF57CC" w14:textId="2ED98831" w:rsidR="00676EB2" w:rsidRPr="00676EB2" w:rsidRDefault="00676EB2" w:rsidP="00676EB2">
      <w:pPr>
        <w:pStyle w:val="Heading2"/>
      </w:pPr>
      <w:r w:rsidRPr="00676EB2">
        <w:t>TDD Mode</w:t>
      </w:r>
    </w:p>
    <w:p w14:paraId="6E576A5B" w14:textId="348C87DF" w:rsidR="00676EB2" w:rsidRDefault="00676EB2" w:rsidP="00676EB2">
      <w:pPr>
        <w:rPr>
          <w:bCs/>
        </w:rPr>
      </w:pPr>
      <w:r w:rsidRPr="00676EB2">
        <w:t xml:space="preserve">In NR </w:t>
      </w:r>
      <w:r w:rsidRPr="00676EB2">
        <w:rPr>
          <w:bCs/>
        </w:rPr>
        <w:t>Ad-hoc#2 [2], it was concluded Asymmetric UL/DL BW in TDD mode does not burden implementation compared to 1UL/xDL intra-band CA</w:t>
      </w:r>
      <w:r>
        <w:rPr>
          <w:bCs/>
        </w:rPr>
        <w:t xml:space="preserve">. Therefore, the asymmetric operation for TDD can be put simply as: </w:t>
      </w:r>
    </w:p>
    <w:p w14:paraId="0E45369A" w14:textId="104C7B74" w:rsidR="00676EB2" w:rsidRPr="00676EB2" w:rsidRDefault="00676EB2" w:rsidP="00676EB2">
      <w:pPr>
        <w:rPr>
          <w:bCs/>
          <w:i/>
        </w:rPr>
      </w:pPr>
      <w:r w:rsidRPr="00676EB2">
        <w:rPr>
          <w:bCs/>
          <w:i/>
        </w:rPr>
        <w:t xml:space="preserve">In each TDD band, a single UL CC </w:t>
      </w:r>
      <w:r w:rsidRPr="00676EB2">
        <w:rPr>
          <w:i/>
        </w:rPr>
        <w:t>can be narrower than the corresponding DL CC</w:t>
      </w:r>
    </w:p>
    <w:p w14:paraId="083CA346" w14:textId="437B476F" w:rsidR="00676EB2" w:rsidRPr="00676EB2" w:rsidRDefault="00676EB2" w:rsidP="00676EB2">
      <w:pPr>
        <w:rPr>
          <w:b/>
          <w:bCs/>
        </w:rPr>
      </w:pPr>
      <w:r w:rsidRPr="00676EB2">
        <w:rPr>
          <w:b/>
          <w:bCs/>
        </w:rPr>
        <w:t xml:space="preserve">Proposal 1: </w:t>
      </w:r>
      <w:r>
        <w:rPr>
          <w:b/>
          <w:bCs/>
        </w:rPr>
        <w:t xml:space="preserve">For </w:t>
      </w:r>
      <w:r w:rsidRPr="00676EB2">
        <w:rPr>
          <w:b/>
          <w:bCs/>
        </w:rPr>
        <w:t xml:space="preserve">TDD, a single UL CC </w:t>
      </w:r>
      <w:r w:rsidRPr="00676EB2">
        <w:rPr>
          <w:b/>
        </w:rPr>
        <w:t>can be narrower than the corresponding DL CC</w:t>
      </w:r>
      <w:r>
        <w:rPr>
          <w:b/>
        </w:rPr>
        <w:t xml:space="preserve"> in NR Release 15</w:t>
      </w:r>
    </w:p>
    <w:p w14:paraId="64423F37" w14:textId="258F47A8" w:rsidR="003B5C33" w:rsidRDefault="003B5C33" w:rsidP="003B5C33">
      <w:pPr>
        <w:pStyle w:val="Heading2"/>
      </w:pPr>
      <w:r>
        <w:t>Reference Sensitivity Requirements for asymmetric CH BWs</w:t>
      </w:r>
      <w:r w:rsidRPr="00762E74">
        <w:t>:</w:t>
      </w:r>
    </w:p>
    <w:p w14:paraId="04BCD073" w14:textId="0B3F646C" w:rsidR="003B5C33" w:rsidRDefault="003B5C33" w:rsidP="003B5C33">
      <w:pPr>
        <w:rPr>
          <w:bCs/>
        </w:rPr>
      </w:pPr>
      <w:r>
        <w:t xml:space="preserve">In NR </w:t>
      </w:r>
      <w:r>
        <w:rPr>
          <w:bCs/>
        </w:rPr>
        <w:t xml:space="preserve">Ad-hoc#2 [2], it was concluded the asymmetric operation </w:t>
      </w:r>
      <w:r w:rsidR="00676EB2">
        <w:rPr>
          <w:bCs/>
        </w:rPr>
        <w:t xml:space="preserve">for FDD </w:t>
      </w:r>
      <w:r>
        <w:rPr>
          <w:bCs/>
        </w:rPr>
        <w:t xml:space="preserve">should be specified in Release 15 with the following rule: </w:t>
      </w:r>
    </w:p>
    <w:p w14:paraId="30C24141" w14:textId="4310F5AD" w:rsidR="003B5C33" w:rsidRDefault="003B5C33" w:rsidP="003B5C33">
      <w:pPr>
        <w:rPr>
          <w:i/>
        </w:rPr>
      </w:pPr>
      <w:r w:rsidRPr="003B5C33">
        <w:rPr>
          <w:i/>
        </w:rPr>
        <w:t>For FDD band single CC operation, a UE UL CC can be narrower than UE DL CC. The UL CC shall be confined within the paired frequency range of the DL CC, separated by the default Tx-Rx separation</w:t>
      </w:r>
    </w:p>
    <w:p w14:paraId="148DEDEC" w14:textId="55BE7290" w:rsidR="003B5C33" w:rsidRDefault="003B5C33" w:rsidP="003B5C33">
      <w:r>
        <w:t>This way the impact of flexible Tx-Rx separation in Tx noise is negligible at least for the bands with relatively large Tx</w:t>
      </w:r>
      <w:r>
        <w:noBreakHyphen/>
        <w:t xml:space="preserve">Rx separation. In these cases, the numerical value of the reference sensitivity should be independent from the UL BW and the UL RB allocation should follow what is used in the symmetrical case. </w:t>
      </w:r>
    </w:p>
    <w:p w14:paraId="698F8AFB" w14:textId="4BB8E681" w:rsidR="003B5C33" w:rsidRDefault="003B5C33" w:rsidP="003B5C33">
      <w:pPr>
        <w:rPr>
          <w:b/>
        </w:rPr>
      </w:pPr>
      <w:r w:rsidRPr="00E56154">
        <w:rPr>
          <w:b/>
        </w:rPr>
        <w:t xml:space="preserve">Observation: To enable basic asymmetric CH BW operation in Release 15, </w:t>
      </w:r>
      <w:r w:rsidR="00E56154" w:rsidRPr="00E56154">
        <w:rPr>
          <w:b/>
        </w:rPr>
        <w:t>it should be studied if there is a frequency threshold for Tx</w:t>
      </w:r>
      <w:r w:rsidR="00E56154" w:rsidRPr="00E56154">
        <w:rPr>
          <w:b/>
        </w:rPr>
        <w:noBreakHyphen/>
        <w:t>Rx separation when symmetric RefSens requirements apply also to asymmetric or should th</w:t>
      </w:r>
      <w:r w:rsidR="00676EB2">
        <w:rPr>
          <w:b/>
        </w:rPr>
        <w:t>e requirements be band specific</w:t>
      </w:r>
    </w:p>
    <w:p w14:paraId="2F3FB5C8" w14:textId="75228686" w:rsidR="00E56154" w:rsidRPr="00E56154" w:rsidRDefault="00E56154" w:rsidP="003B5C33">
      <w:pPr>
        <w:rPr>
          <w:b/>
        </w:rPr>
      </w:pPr>
      <w:r w:rsidRPr="00E56154">
        <w:rPr>
          <w:b/>
        </w:rPr>
        <w:lastRenderedPageBreak/>
        <w:t xml:space="preserve">Proposal </w:t>
      </w:r>
      <w:r w:rsidR="00676EB2">
        <w:rPr>
          <w:b/>
        </w:rPr>
        <w:t>2</w:t>
      </w:r>
      <w:r w:rsidRPr="00E56154">
        <w:rPr>
          <w:b/>
        </w:rPr>
        <w:t xml:space="preserve">: How to apply asymmetric CH BW reference sensitivity requirements for NR bands shall be further studied during </w:t>
      </w:r>
      <w:r w:rsidR="00676EB2">
        <w:rPr>
          <w:b/>
        </w:rPr>
        <w:t>Release 15</w:t>
      </w:r>
    </w:p>
    <w:p w14:paraId="6944AC18" w14:textId="3B05E84C" w:rsidR="00C66839" w:rsidRPr="00C66839" w:rsidRDefault="00676EB2" w:rsidP="003B5C33">
      <w:pPr>
        <w:pStyle w:val="Heading2"/>
        <w:ind w:left="0" w:firstLine="0"/>
      </w:pPr>
      <w:r>
        <w:t xml:space="preserve">FDD </w:t>
      </w:r>
      <w:r w:rsidR="00C66839" w:rsidRPr="00C66839">
        <w:t xml:space="preserve">Tx-Rx </w:t>
      </w:r>
      <w:r>
        <w:t xml:space="preserve">frequency </w:t>
      </w:r>
      <w:r w:rsidR="00C66839" w:rsidRPr="00C66839">
        <w:t>separation in Asymmetric CH BW operation</w:t>
      </w:r>
      <w:r w:rsidR="00C66839">
        <w:t>:</w:t>
      </w:r>
    </w:p>
    <w:p w14:paraId="3FBA9046" w14:textId="3C01369F" w:rsidR="00E56154" w:rsidRDefault="00E56154" w:rsidP="007379F5">
      <w:pPr>
        <w:spacing w:after="0"/>
        <w:rPr>
          <w:bCs/>
        </w:rPr>
      </w:pPr>
      <w:r>
        <w:rPr>
          <w:bCs/>
        </w:rPr>
        <w:t xml:space="preserve">The </w:t>
      </w:r>
      <w:r w:rsidR="004A6695">
        <w:rPr>
          <w:bCs/>
        </w:rPr>
        <w:t xml:space="preserve">above mentioned </w:t>
      </w:r>
      <w:r>
        <w:rPr>
          <w:bCs/>
        </w:rPr>
        <w:t xml:space="preserve">rule for asymmetric CH BW operation can be stated </w:t>
      </w:r>
      <w:r w:rsidR="004A6695">
        <w:rPr>
          <w:bCs/>
        </w:rPr>
        <w:t xml:space="preserve">by what is the maximum deviation from the default UE Tx-Rx frequency separation a UE can have when operating in asymmetric CH BWs (in LTE wrt. TS 36.101 Table 5.7.4-1). </w:t>
      </w:r>
    </w:p>
    <w:p w14:paraId="15993F17" w14:textId="4E2EFE13" w:rsidR="004A6695" w:rsidRDefault="004A6695" w:rsidP="007379F5">
      <w:pPr>
        <w:spacing w:after="0"/>
        <w:rPr>
          <w:bCs/>
        </w:rPr>
      </w:pPr>
      <w:r>
        <w:rPr>
          <w:bCs/>
        </w:rPr>
        <w:t>The equation is following:</w:t>
      </w:r>
    </w:p>
    <w:p w14:paraId="2F1905D1" w14:textId="6E00FDA9" w:rsidR="00E56154" w:rsidRDefault="00E56154" w:rsidP="007379F5">
      <w:pPr>
        <w:spacing w:after="0"/>
        <w:rPr>
          <w:bCs/>
        </w:rPr>
      </w:pPr>
    </w:p>
    <w:p w14:paraId="37103B53" w14:textId="7BD5EEEC" w:rsidR="00E56154" w:rsidRDefault="00E56154" w:rsidP="007379F5">
      <w:pPr>
        <w:spacing w:after="0"/>
        <w:rPr>
          <w:bCs/>
        </w:rPr>
      </w:pPr>
      <w:r w:rsidRPr="00C41963">
        <w:t>Δ</w:t>
      </w:r>
      <w:r w:rsidRPr="00C41963">
        <w:rPr>
          <w:lang w:val="en-US"/>
        </w:rPr>
        <w:t>F</w:t>
      </w:r>
      <w:r w:rsidRPr="00C41963">
        <w:rPr>
          <w:vertAlign w:val="subscript"/>
          <w:lang w:val="en-US"/>
        </w:rPr>
        <w:t>Tx-Rx</w:t>
      </w:r>
      <w:r>
        <w:rPr>
          <w:vertAlign w:val="subscript"/>
          <w:lang w:val="en-US"/>
        </w:rPr>
        <w:t xml:space="preserve"> </w:t>
      </w:r>
      <w:r>
        <w:rPr>
          <w:bCs/>
        </w:rPr>
        <w:t>= CBW</w:t>
      </w:r>
      <w:r w:rsidRPr="00E56154">
        <w:rPr>
          <w:bCs/>
          <w:vertAlign w:val="subscript"/>
        </w:rPr>
        <w:t>DL</w:t>
      </w:r>
      <w:r>
        <w:rPr>
          <w:bCs/>
        </w:rPr>
        <w:t>/2 – CBW</w:t>
      </w:r>
      <w:r w:rsidRPr="00E56154">
        <w:rPr>
          <w:bCs/>
          <w:vertAlign w:val="subscript"/>
        </w:rPr>
        <w:t>UL</w:t>
      </w:r>
      <w:r>
        <w:rPr>
          <w:bCs/>
        </w:rPr>
        <w:t>/2</w:t>
      </w:r>
      <w:r w:rsidR="00542E57">
        <w:rPr>
          <w:bCs/>
        </w:rPr>
        <w:t>, where</w:t>
      </w:r>
    </w:p>
    <w:p w14:paraId="593BD3A3" w14:textId="77777777" w:rsidR="004A6695" w:rsidRDefault="004A6695" w:rsidP="007379F5">
      <w:pPr>
        <w:spacing w:after="0"/>
        <w:rPr>
          <w:bCs/>
        </w:rPr>
      </w:pPr>
    </w:p>
    <w:p w14:paraId="644FD885" w14:textId="60B9A394" w:rsidR="00542E57" w:rsidRDefault="00542E57" w:rsidP="007379F5">
      <w:pPr>
        <w:spacing w:after="0"/>
        <w:rPr>
          <w:bCs/>
          <w:lang w:val="en-US"/>
        </w:rPr>
      </w:pPr>
      <w:r w:rsidRPr="00C41963">
        <w:t>Δ</w:t>
      </w:r>
      <w:r w:rsidRPr="00C41963">
        <w:rPr>
          <w:lang w:val="en-US"/>
        </w:rPr>
        <w:t>F</w:t>
      </w:r>
      <w:r w:rsidRPr="00C41963">
        <w:rPr>
          <w:vertAlign w:val="subscript"/>
          <w:lang w:val="en-US"/>
        </w:rPr>
        <w:t>Tx-Rx</w:t>
      </w:r>
      <w:r>
        <w:rPr>
          <w:vertAlign w:val="subscript"/>
          <w:lang w:val="en-US"/>
        </w:rPr>
        <w:t xml:space="preserve">  </w:t>
      </w:r>
      <w:r>
        <w:rPr>
          <w:bCs/>
        </w:rPr>
        <w:tab/>
      </w:r>
      <w:r>
        <w:rPr>
          <w:bCs/>
        </w:rPr>
        <w:tab/>
        <w:t xml:space="preserve">The allowed </w:t>
      </w:r>
      <w:r>
        <w:rPr>
          <w:bCs/>
          <w:lang w:val="en-US"/>
        </w:rPr>
        <w:t>delta</w:t>
      </w:r>
      <w:r w:rsidRPr="00C41963">
        <w:rPr>
          <w:bCs/>
          <w:lang w:val="en-US"/>
        </w:rPr>
        <w:t xml:space="preserve"> </w:t>
      </w:r>
      <w:r>
        <w:rPr>
          <w:lang w:val="en-US"/>
        </w:rPr>
        <w:t>f</w:t>
      </w:r>
      <w:r w:rsidRPr="00C41963">
        <w:rPr>
          <w:lang w:val="en-US"/>
        </w:rPr>
        <w:t xml:space="preserve">requency of </w:t>
      </w:r>
      <w:r>
        <w:rPr>
          <w:lang w:val="en-US"/>
        </w:rPr>
        <w:t xml:space="preserve">the operating band default </w:t>
      </w:r>
      <w:r w:rsidR="004A6695">
        <w:rPr>
          <w:lang w:val="en-US"/>
        </w:rPr>
        <w:t xml:space="preserve">UE </w:t>
      </w:r>
      <w:r w:rsidRPr="00C41963">
        <w:rPr>
          <w:bCs/>
          <w:lang w:val="en-US"/>
        </w:rPr>
        <w:t xml:space="preserve">Tx-Rx </w:t>
      </w:r>
      <w:r w:rsidR="004A6695">
        <w:rPr>
          <w:bCs/>
          <w:lang w:val="en-US"/>
        </w:rPr>
        <w:t xml:space="preserve">frequency </w:t>
      </w:r>
      <w:r w:rsidRPr="00C41963">
        <w:rPr>
          <w:bCs/>
          <w:lang w:val="en-US"/>
        </w:rPr>
        <w:t>separation</w:t>
      </w:r>
    </w:p>
    <w:p w14:paraId="7DD83C67" w14:textId="212936E4" w:rsidR="00542E57" w:rsidRDefault="00542E57" w:rsidP="007379F5">
      <w:pPr>
        <w:spacing w:after="0"/>
        <w:rPr>
          <w:bCs/>
          <w:lang w:val="en-US"/>
        </w:rPr>
      </w:pPr>
      <w:r>
        <w:rPr>
          <w:bCs/>
          <w:lang w:val="en-US"/>
        </w:rPr>
        <w:t>CBW</w:t>
      </w:r>
      <w:r w:rsidRPr="00542E57">
        <w:rPr>
          <w:bCs/>
          <w:vertAlign w:val="subscript"/>
          <w:lang w:val="en-US"/>
        </w:rPr>
        <w:t>DL</w:t>
      </w:r>
      <w:r>
        <w:rPr>
          <w:bCs/>
          <w:vertAlign w:val="subscript"/>
          <w:lang w:val="en-US"/>
        </w:rPr>
        <w:t xml:space="preserve"> </w:t>
      </w:r>
      <w:r>
        <w:rPr>
          <w:bCs/>
          <w:lang w:val="en-US"/>
        </w:rPr>
        <w:tab/>
      </w:r>
      <w:r>
        <w:rPr>
          <w:bCs/>
          <w:lang w:val="en-US"/>
        </w:rPr>
        <w:tab/>
        <w:t>UE DL Channel Bandwidth</w:t>
      </w:r>
    </w:p>
    <w:p w14:paraId="04A68369" w14:textId="03360D7B" w:rsidR="00542E57" w:rsidRDefault="00542E57" w:rsidP="007379F5">
      <w:pPr>
        <w:spacing w:after="0"/>
        <w:rPr>
          <w:bCs/>
        </w:rPr>
      </w:pPr>
      <w:r>
        <w:rPr>
          <w:bCs/>
          <w:lang w:val="en-US"/>
        </w:rPr>
        <w:t>CBW</w:t>
      </w:r>
      <w:r w:rsidRPr="00542E57">
        <w:rPr>
          <w:bCs/>
          <w:vertAlign w:val="subscript"/>
          <w:lang w:val="en-US"/>
        </w:rPr>
        <w:t>UL</w:t>
      </w:r>
      <w:r>
        <w:rPr>
          <w:bCs/>
          <w:vertAlign w:val="subscript"/>
          <w:lang w:val="en-US"/>
        </w:rPr>
        <w:t xml:space="preserve">  </w:t>
      </w:r>
      <w:r>
        <w:rPr>
          <w:bCs/>
        </w:rPr>
        <w:tab/>
      </w:r>
      <w:r>
        <w:rPr>
          <w:bCs/>
        </w:rPr>
        <w:tab/>
        <w:t>UE UL Channel Bandwidth</w:t>
      </w:r>
    </w:p>
    <w:p w14:paraId="1EE4BC20" w14:textId="294AE11E" w:rsidR="00E56154" w:rsidRDefault="00E56154" w:rsidP="007379F5">
      <w:pPr>
        <w:spacing w:after="0"/>
        <w:rPr>
          <w:bCs/>
        </w:rPr>
      </w:pPr>
    </w:p>
    <w:p w14:paraId="38AB0D1F" w14:textId="1938F955" w:rsidR="00E11870" w:rsidRDefault="00676EB2" w:rsidP="007379F5">
      <w:pPr>
        <w:spacing w:after="0"/>
        <w:rPr>
          <w:bCs/>
        </w:rPr>
      </w:pPr>
      <w:r>
        <w:rPr>
          <w:b/>
          <w:bCs/>
        </w:rPr>
        <w:t>Proposal 3</w:t>
      </w:r>
      <w:r w:rsidR="00E11870" w:rsidRPr="00E11870">
        <w:rPr>
          <w:b/>
          <w:bCs/>
        </w:rPr>
        <w:t>:</w:t>
      </w:r>
      <w:r w:rsidR="00E11870">
        <w:rPr>
          <w:bCs/>
        </w:rPr>
        <w:t xml:space="preserve"> </w:t>
      </w:r>
      <w:r w:rsidRPr="00676EB2">
        <w:rPr>
          <w:b/>
          <w:bCs/>
        </w:rPr>
        <w:t>For FDD, u</w:t>
      </w:r>
      <w:r w:rsidR="00E11870" w:rsidRPr="00E11870">
        <w:rPr>
          <w:b/>
          <w:bCs/>
        </w:rPr>
        <w:t>se the equation for delta F (</w:t>
      </w:r>
      <w:r w:rsidR="00E11870" w:rsidRPr="00E11870">
        <w:rPr>
          <w:b/>
        </w:rPr>
        <w:t>Δ</w:t>
      </w:r>
      <w:r w:rsidR="00E11870" w:rsidRPr="00E11870">
        <w:rPr>
          <w:b/>
          <w:lang w:val="en-US"/>
        </w:rPr>
        <w:t>F</w:t>
      </w:r>
      <w:r w:rsidR="00E11870" w:rsidRPr="00E11870">
        <w:rPr>
          <w:b/>
          <w:vertAlign w:val="subscript"/>
          <w:lang w:val="en-US"/>
        </w:rPr>
        <w:t xml:space="preserve">Tx-Rx </w:t>
      </w:r>
      <w:r w:rsidR="00E11870" w:rsidRPr="00E11870">
        <w:rPr>
          <w:b/>
          <w:bCs/>
        </w:rPr>
        <w:t>= CBW</w:t>
      </w:r>
      <w:r w:rsidR="00E11870" w:rsidRPr="00E11870">
        <w:rPr>
          <w:b/>
          <w:bCs/>
          <w:vertAlign w:val="subscript"/>
        </w:rPr>
        <w:t>DL</w:t>
      </w:r>
      <w:r w:rsidR="00E11870" w:rsidRPr="00E11870">
        <w:rPr>
          <w:b/>
          <w:bCs/>
        </w:rPr>
        <w:t>/2 – CBW</w:t>
      </w:r>
      <w:r w:rsidR="00E11870" w:rsidRPr="00E11870">
        <w:rPr>
          <w:b/>
          <w:bCs/>
          <w:vertAlign w:val="subscript"/>
        </w:rPr>
        <w:t>UL</w:t>
      </w:r>
      <w:r w:rsidR="00E11870" w:rsidRPr="00E11870">
        <w:rPr>
          <w:b/>
          <w:bCs/>
        </w:rPr>
        <w:t>/2) to determine Tx-Rx separation in asymmetric CH BW operation in NR Release 15</w:t>
      </w:r>
    </w:p>
    <w:p w14:paraId="750DA0D0" w14:textId="6C2D32E3" w:rsidR="00C66839" w:rsidRDefault="00C66839" w:rsidP="00C66839">
      <w:pPr>
        <w:pStyle w:val="Heading2"/>
      </w:pPr>
      <w:r>
        <w:t>Applicability</w:t>
      </w:r>
      <w:r w:rsidRPr="00762E74">
        <w:t>:</w:t>
      </w:r>
    </w:p>
    <w:p w14:paraId="13BDD5B4" w14:textId="2FAD3B74" w:rsidR="00676EB2" w:rsidRDefault="00676EB2" w:rsidP="00676EB2">
      <w:r>
        <w:t xml:space="preserve">RAN4 has agreed the feature in Release 15 NR, which was also mentioned in the LS sent to RAN1 in the last meeting, in RAN4 NR AH#2. [3] However, the applicability is still TBD. In order to </w:t>
      </w:r>
    </w:p>
    <w:p w14:paraId="000C1DDE" w14:textId="15086EB8" w:rsidR="00676EB2" w:rsidRPr="00676EB2" w:rsidRDefault="00676EB2" w:rsidP="00676EB2">
      <w:pPr>
        <w:pStyle w:val="ListParagraph"/>
        <w:numPr>
          <w:ilvl w:val="0"/>
          <w:numId w:val="40"/>
        </w:numPr>
        <w:rPr>
          <w:bCs/>
          <w:sz w:val="20"/>
          <w:szCs w:val="20"/>
          <w:lang w:val="en-GB"/>
        </w:rPr>
      </w:pPr>
      <w:r w:rsidRPr="00676EB2">
        <w:rPr>
          <w:bCs/>
          <w:sz w:val="20"/>
          <w:szCs w:val="20"/>
          <w:lang w:val="en-GB"/>
        </w:rPr>
        <w:t>avoid market fragmentation</w:t>
      </w:r>
    </w:p>
    <w:p w14:paraId="6952D363" w14:textId="5F64D9DF" w:rsidR="00676EB2" w:rsidRPr="00676EB2" w:rsidRDefault="00676EB2" w:rsidP="00676EB2">
      <w:pPr>
        <w:pStyle w:val="ListParagraph"/>
        <w:numPr>
          <w:ilvl w:val="0"/>
          <w:numId w:val="40"/>
        </w:numPr>
        <w:rPr>
          <w:bCs/>
          <w:sz w:val="20"/>
          <w:szCs w:val="20"/>
          <w:lang w:val="en-GB"/>
        </w:rPr>
      </w:pPr>
      <w:r w:rsidRPr="00676EB2">
        <w:rPr>
          <w:bCs/>
          <w:sz w:val="20"/>
          <w:szCs w:val="20"/>
          <w:lang w:val="en-GB"/>
        </w:rPr>
        <w:t xml:space="preserve">avoid </w:t>
      </w:r>
      <w:r w:rsidR="00C6576C">
        <w:rPr>
          <w:bCs/>
          <w:sz w:val="20"/>
          <w:szCs w:val="20"/>
          <w:lang w:val="en-GB"/>
        </w:rPr>
        <w:t>unnecessary use of</w:t>
      </w:r>
      <w:r w:rsidRPr="00676EB2">
        <w:rPr>
          <w:bCs/>
          <w:sz w:val="20"/>
          <w:szCs w:val="20"/>
          <w:lang w:val="en-GB"/>
        </w:rPr>
        <w:t xml:space="preserve"> intra-band contiguous CA</w:t>
      </w:r>
    </w:p>
    <w:p w14:paraId="2FC44545" w14:textId="167F772C" w:rsidR="00676EB2" w:rsidRPr="00676EB2" w:rsidRDefault="00676EB2" w:rsidP="00676EB2">
      <w:pPr>
        <w:pStyle w:val="ListParagraph"/>
        <w:numPr>
          <w:ilvl w:val="0"/>
          <w:numId w:val="40"/>
        </w:numPr>
        <w:rPr>
          <w:bCs/>
          <w:sz w:val="20"/>
          <w:szCs w:val="20"/>
          <w:lang w:val="en-GB"/>
        </w:rPr>
      </w:pPr>
      <w:r w:rsidRPr="00676EB2">
        <w:rPr>
          <w:bCs/>
          <w:sz w:val="20"/>
          <w:szCs w:val="20"/>
          <w:lang w:val="en-GB"/>
        </w:rPr>
        <w:t>optimize spectrum utilization</w:t>
      </w:r>
    </w:p>
    <w:p w14:paraId="330B90BA" w14:textId="77C362AB" w:rsidR="00676EB2" w:rsidRPr="00676EB2" w:rsidRDefault="00676EB2" w:rsidP="00676EB2">
      <w:pPr>
        <w:pStyle w:val="ListParagraph"/>
        <w:numPr>
          <w:ilvl w:val="0"/>
          <w:numId w:val="40"/>
        </w:numPr>
        <w:rPr>
          <w:bCs/>
          <w:sz w:val="20"/>
          <w:szCs w:val="20"/>
          <w:lang w:val="en-GB"/>
        </w:rPr>
      </w:pPr>
      <w:r w:rsidRPr="00676EB2">
        <w:rPr>
          <w:bCs/>
          <w:sz w:val="20"/>
          <w:szCs w:val="20"/>
          <w:lang w:val="en-GB"/>
        </w:rPr>
        <w:t>have flexibility in asymmetric spectrum holdings</w:t>
      </w:r>
    </w:p>
    <w:p w14:paraId="0515204C" w14:textId="080CE7CC" w:rsidR="00676EB2" w:rsidRDefault="00676EB2" w:rsidP="00676EB2">
      <w:pPr>
        <w:pStyle w:val="ListParagraph"/>
        <w:numPr>
          <w:ilvl w:val="0"/>
          <w:numId w:val="40"/>
        </w:numPr>
        <w:rPr>
          <w:bCs/>
          <w:sz w:val="20"/>
          <w:szCs w:val="20"/>
          <w:lang w:val="en-GB"/>
        </w:rPr>
      </w:pPr>
      <w:r w:rsidRPr="00676EB2">
        <w:rPr>
          <w:bCs/>
          <w:sz w:val="20"/>
          <w:szCs w:val="20"/>
          <w:lang w:val="en-GB"/>
        </w:rPr>
        <w:t>promote interoperability</w:t>
      </w:r>
    </w:p>
    <w:p w14:paraId="72253228" w14:textId="77777777" w:rsidR="00676EB2" w:rsidRPr="00676EB2" w:rsidRDefault="00676EB2" w:rsidP="00676EB2">
      <w:pPr>
        <w:pStyle w:val="ListParagraph"/>
        <w:rPr>
          <w:bCs/>
          <w:sz w:val="20"/>
          <w:szCs w:val="20"/>
          <w:lang w:val="en-GB"/>
        </w:rPr>
      </w:pPr>
    </w:p>
    <w:p w14:paraId="6CDF1E3E" w14:textId="060DE568" w:rsidR="00676EB2" w:rsidRDefault="00676EB2" w:rsidP="00676EB2">
      <w:r>
        <w:t xml:space="preserve">the asymmetric CH BWs should be mandatory for each band it is specified for. In case the results in proposal 2 suggest it will be applied for all band, it should be mandatory for all bands. </w:t>
      </w:r>
    </w:p>
    <w:p w14:paraId="378B599A" w14:textId="77802E9F" w:rsidR="00676EB2" w:rsidRPr="00676EB2" w:rsidRDefault="00676EB2" w:rsidP="00676EB2">
      <w:pPr>
        <w:rPr>
          <w:b/>
        </w:rPr>
      </w:pPr>
      <w:r>
        <w:rPr>
          <w:b/>
        </w:rPr>
        <w:t>Proposal 4</w:t>
      </w:r>
      <w:r w:rsidRPr="00676EB2">
        <w:rPr>
          <w:b/>
        </w:rPr>
        <w:t xml:space="preserve">: Asymmetric UE UL/DL Channel Bandwidths shall be mandatory for each </w:t>
      </w:r>
      <w:r>
        <w:rPr>
          <w:b/>
        </w:rPr>
        <w:t xml:space="preserve">operating </w:t>
      </w:r>
      <w:r w:rsidRPr="00676EB2">
        <w:rPr>
          <w:b/>
        </w:rPr>
        <w:t>band that have r</w:t>
      </w:r>
      <w:r>
        <w:rPr>
          <w:b/>
        </w:rPr>
        <w:t>equirements defined accordingly</w:t>
      </w:r>
      <w:r w:rsidRPr="00676EB2">
        <w:rPr>
          <w:b/>
        </w:rPr>
        <w:t xml:space="preserve"> </w:t>
      </w:r>
    </w:p>
    <w:p w14:paraId="442B23B0" w14:textId="0C4B2B4A" w:rsidR="00E222E6" w:rsidRPr="00762E74" w:rsidRDefault="00E222E6" w:rsidP="000262DA">
      <w:pPr>
        <w:rPr>
          <w:b/>
          <w:lang w:val="en-US"/>
        </w:rPr>
      </w:pPr>
    </w:p>
    <w:p w14:paraId="7353710D" w14:textId="77777777" w:rsidR="00CD4C7B" w:rsidRPr="00762E74" w:rsidRDefault="00DA64D6" w:rsidP="00CD4C7B">
      <w:pPr>
        <w:pStyle w:val="Heading1"/>
      </w:pPr>
      <w:r w:rsidRPr="00762E74">
        <w:t>3</w:t>
      </w:r>
      <w:r w:rsidRPr="00762E74">
        <w:tab/>
        <w:t>Conclusions</w:t>
      </w:r>
    </w:p>
    <w:p w14:paraId="194D1657" w14:textId="4DA88D45" w:rsidR="00676EB2" w:rsidRDefault="00676EB2" w:rsidP="00676EB2">
      <w:pPr>
        <w:rPr>
          <w:b/>
        </w:rPr>
      </w:pPr>
      <w:r w:rsidRPr="00676EB2">
        <w:rPr>
          <w:b/>
          <w:bCs/>
        </w:rPr>
        <w:t xml:space="preserve">Proposal 1: </w:t>
      </w:r>
      <w:r>
        <w:rPr>
          <w:b/>
          <w:bCs/>
        </w:rPr>
        <w:tab/>
        <w:t>For TDD</w:t>
      </w:r>
      <w:r w:rsidRPr="00676EB2">
        <w:rPr>
          <w:b/>
          <w:bCs/>
        </w:rPr>
        <w:t xml:space="preserve">, a single UL CC </w:t>
      </w:r>
      <w:r w:rsidRPr="00676EB2">
        <w:rPr>
          <w:b/>
        </w:rPr>
        <w:t>can be narrower than the corresponding DL CC</w:t>
      </w:r>
      <w:r>
        <w:rPr>
          <w:b/>
        </w:rPr>
        <w:t xml:space="preserve"> in NR Release 15</w:t>
      </w:r>
    </w:p>
    <w:p w14:paraId="2171706F" w14:textId="08A1F575" w:rsidR="00676EB2" w:rsidRPr="00E56154" w:rsidRDefault="00676EB2" w:rsidP="00676EB2">
      <w:pPr>
        <w:ind w:left="1133" w:hanging="1133"/>
        <w:rPr>
          <w:b/>
        </w:rPr>
      </w:pPr>
      <w:r w:rsidRPr="00E56154">
        <w:rPr>
          <w:b/>
        </w:rPr>
        <w:t xml:space="preserve">Proposal </w:t>
      </w:r>
      <w:r>
        <w:rPr>
          <w:b/>
        </w:rPr>
        <w:t>2</w:t>
      </w:r>
      <w:r w:rsidRPr="00E56154">
        <w:rPr>
          <w:b/>
        </w:rPr>
        <w:t xml:space="preserve">: </w:t>
      </w:r>
      <w:r>
        <w:rPr>
          <w:b/>
        </w:rPr>
        <w:tab/>
      </w:r>
      <w:r w:rsidRPr="00E56154">
        <w:rPr>
          <w:b/>
        </w:rPr>
        <w:t xml:space="preserve">How to apply asymmetric CH BW reference sensitivity requirements for NR bands shall be further studied during </w:t>
      </w:r>
      <w:r>
        <w:rPr>
          <w:b/>
        </w:rPr>
        <w:t>Release 15</w:t>
      </w:r>
    </w:p>
    <w:p w14:paraId="451067F8" w14:textId="4852332A" w:rsidR="00676EB2" w:rsidRPr="00676EB2" w:rsidRDefault="00676EB2" w:rsidP="00676EB2">
      <w:pPr>
        <w:ind w:left="1133" w:hanging="1133"/>
        <w:rPr>
          <w:b/>
          <w:bCs/>
        </w:rPr>
      </w:pPr>
      <w:r>
        <w:rPr>
          <w:b/>
          <w:bCs/>
        </w:rPr>
        <w:t>Proposal 3</w:t>
      </w:r>
      <w:r w:rsidRPr="00E11870">
        <w:rPr>
          <w:b/>
          <w:bCs/>
        </w:rPr>
        <w:t>:</w:t>
      </w:r>
      <w:r>
        <w:rPr>
          <w:bCs/>
        </w:rPr>
        <w:t xml:space="preserve"> </w:t>
      </w:r>
      <w:r>
        <w:rPr>
          <w:bCs/>
        </w:rPr>
        <w:tab/>
      </w:r>
      <w:r w:rsidRPr="00676EB2">
        <w:rPr>
          <w:b/>
          <w:bCs/>
        </w:rPr>
        <w:t>For FDD, u</w:t>
      </w:r>
      <w:r w:rsidRPr="00E11870">
        <w:rPr>
          <w:b/>
          <w:bCs/>
        </w:rPr>
        <w:t>se the equation for delta F (</w:t>
      </w:r>
      <w:r w:rsidRPr="00E11870">
        <w:rPr>
          <w:b/>
        </w:rPr>
        <w:t>Δ</w:t>
      </w:r>
      <w:r w:rsidRPr="00E11870">
        <w:rPr>
          <w:b/>
          <w:lang w:val="en-US"/>
        </w:rPr>
        <w:t>F</w:t>
      </w:r>
      <w:r w:rsidRPr="00E11870">
        <w:rPr>
          <w:b/>
          <w:vertAlign w:val="subscript"/>
          <w:lang w:val="en-US"/>
        </w:rPr>
        <w:t xml:space="preserve">Tx-Rx </w:t>
      </w:r>
      <w:r w:rsidRPr="00E11870">
        <w:rPr>
          <w:b/>
          <w:bCs/>
        </w:rPr>
        <w:t>= CBW</w:t>
      </w:r>
      <w:r w:rsidRPr="00E11870">
        <w:rPr>
          <w:b/>
          <w:bCs/>
          <w:vertAlign w:val="subscript"/>
        </w:rPr>
        <w:t>DL</w:t>
      </w:r>
      <w:r w:rsidRPr="00E11870">
        <w:rPr>
          <w:b/>
          <w:bCs/>
        </w:rPr>
        <w:t>/2 – CBW</w:t>
      </w:r>
      <w:r w:rsidRPr="00E11870">
        <w:rPr>
          <w:b/>
          <w:bCs/>
          <w:vertAlign w:val="subscript"/>
        </w:rPr>
        <w:t>UL</w:t>
      </w:r>
      <w:r w:rsidRPr="00E11870">
        <w:rPr>
          <w:b/>
          <w:bCs/>
        </w:rPr>
        <w:t>/2) to determine Tx-Rx separation in asymmetric CH BW operation in NR Release 15</w:t>
      </w:r>
    </w:p>
    <w:p w14:paraId="395A9C6A" w14:textId="1481ABCD" w:rsidR="00FB7D5A" w:rsidRPr="00676EB2" w:rsidRDefault="00676EB2" w:rsidP="00676EB2">
      <w:pPr>
        <w:ind w:left="1133" w:hanging="1133"/>
        <w:rPr>
          <w:b/>
        </w:rPr>
      </w:pPr>
      <w:r>
        <w:rPr>
          <w:b/>
        </w:rPr>
        <w:t>Proposal 4</w:t>
      </w:r>
      <w:r w:rsidRPr="00676EB2">
        <w:rPr>
          <w:b/>
        </w:rPr>
        <w:t xml:space="preserve">: </w:t>
      </w:r>
      <w:r>
        <w:rPr>
          <w:b/>
        </w:rPr>
        <w:tab/>
      </w:r>
      <w:r w:rsidRPr="00676EB2">
        <w:rPr>
          <w:b/>
        </w:rPr>
        <w:t xml:space="preserve">Asymmetric UE UL/DL Channel Bandwidths shall be mandatory for each </w:t>
      </w:r>
      <w:r>
        <w:rPr>
          <w:b/>
        </w:rPr>
        <w:t xml:space="preserve">operating band that have </w:t>
      </w:r>
      <w:r w:rsidRPr="00676EB2">
        <w:rPr>
          <w:b/>
        </w:rPr>
        <w:t>r</w:t>
      </w:r>
      <w:r>
        <w:rPr>
          <w:b/>
        </w:rPr>
        <w:t>equirements defined accordingly</w:t>
      </w:r>
    </w:p>
    <w:p w14:paraId="7939D6E9" w14:textId="77777777" w:rsidR="00CD4C7B" w:rsidRPr="00762E74" w:rsidRDefault="00DA64D6" w:rsidP="00CD4C7B">
      <w:pPr>
        <w:pStyle w:val="Heading1"/>
      </w:pPr>
      <w:r w:rsidRPr="00762E74">
        <w:t>4</w:t>
      </w:r>
      <w:r w:rsidRPr="00762E74">
        <w:tab/>
      </w:r>
      <w:r w:rsidR="00CD4C7B" w:rsidRPr="00762E74">
        <w:t>References</w:t>
      </w:r>
    </w:p>
    <w:p w14:paraId="3FC58D64" w14:textId="7CF6CD92" w:rsidR="003D5D0B" w:rsidRDefault="004316F5" w:rsidP="004316F5">
      <w:pPr>
        <w:numPr>
          <w:ilvl w:val="0"/>
          <w:numId w:val="4"/>
        </w:num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ab/>
      </w:r>
      <w:r w:rsidR="007379F5" w:rsidRPr="00762E74">
        <w:rPr>
          <w:lang w:eastAsia="zh-CN"/>
        </w:rPr>
        <w:t>R4-17</w:t>
      </w:r>
      <w:r>
        <w:rPr>
          <w:lang w:eastAsia="zh-CN"/>
        </w:rPr>
        <w:t>06321,</w:t>
      </w:r>
      <w:r>
        <w:rPr>
          <w:lang w:eastAsia="zh-CN"/>
        </w:rPr>
        <w:tab/>
        <w:t xml:space="preserve"> “</w:t>
      </w:r>
      <w:r w:rsidRPr="004316F5">
        <w:rPr>
          <w:lang w:eastAsia="zh-CN"/>
        </w:rPr>
        <w:t>WF on Maximum Channel Bandwidth</w:t>
      </w:r>
      <w:r>
        <w:rPr>
          <w:lang w:eastAsia="zh-CN"/>
        </w:rPr>
        <w:t>”</w:t>
      </w:r>
      <w:r w:rsidR="003D5D0B">
        <w:rPr>
          <w:lang w:eastAsia="zh-CN"/>
        </w:rPr>
        <w:t>, Qualcomm</w:t>
      </w:r>
    </w:p>
    <w:p w14:paraId="233952D3" w14:textId="0E38C7EE" w:rsidR="00DB23EE" w:rsidRPr="00676EB2" w:rsidRDefault="00DB23EE" w:rsidP="00DB23EE">
      <w:pPr>
        <w:numPr>
          <w:ilvl w:val="0"/>
          <w:numId w:val="4"/>
        </w:numPr>
        <w:autoSpaceDE w:val="0"/>
        <w:autoSpaceDN w:val="0"/>
        <w:adjustRightInd w:val="0"/>
        <w:rPr>
          <w:lang w:eastAsia="zh-CN"/>
        </w:rPr>
      </w:pPr>
      <w:r w:rsidRPr="00676EB2">
        <w:rPr>
          <w:lang w:eastAsia="zh-CN"/>
        </w:rPr>
        <w:t>R4-1706864, “Asymmetric UE UL/DL single carrier bandwidth considerations”, DISH Network</w:t>
      </w:r>
    </w:p>
    <w:p w14:paraId="20B8E109" w14:textId="25632650" w:rsidR="00080512" w:rsidRPr="00676EB2" w:rsidRDefault="00676EB2" w:rsidP="00F114AC">
      <w:pPr>
        <w:numPr>
          <w:ilvl w:val="0"/>
          <w:numId w:val="4"/>
        </w:numPr>
        <w:autoSpaceDE w:val="0"/>
        <w:autoSpaceDN w:val="0"/>
        <w:adjustRightInd w:val="0"/>
        <w:rPr>
          <w:lang w:eastAsia="zh-CN"/>
        </w:rPr>
      </w:pPr>
      <w:r w:rsidRPr="00676EB2">
        <w:rPr>
          <w:lang w:eastAsia="zh-CN"/>
        </w:rPr>
        <w:t>R4-1706978, “LS on DL &amp; UL channel bandwidth for NR”</w:t>
      </w:r>
      <w:r>
        <w:rPr>
          <w:lang w:eastAsia="zh-CN"/>
        </w:rPr>
        <w:t>, Intel</w:t>
      </w:r>
    </w:p>
    <w:sectPr w:rsidR="00080512" w:rsidRPr="00676EB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D7504" w14:textId="77777777" w:rsidR="00E169FC" w:rsidRDefault="00E169FC">
      <w:r>
        <w:separator/>
      </w:r>
    </w:p>
  </w:endnote>
  <w:endnote w:type="continuationSeparator" w:id="0">
    <w:p w14:paraId="09985171" w14:textId="77777777" w:rsidR="00E169FC" w:rsidRDefault="00E1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59474" w14:textId="77777777" w:rsidR="00E169FC" w:rsidRDefault="00E169FC">
      <w:r>
        <w:separator/>
      </w:r>
    </w:p>
  </w:footnote>
  <w:footnote w:type="continuationSeparator" w:id="0">
    <w:p w14:paraId="184F269B" w14:textId="77777777" w:rsidR="00E169FC" w:rsidRDefault="00E16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02703834"/>
    <w:multiLevelType w:val="hybridMultilevel"/>
    <w:tmpl w:val="C23623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276B78"/>
    <w:multiLevelType w:val="hybridMultilevel"/>
    <w:tmpl w:val="8DDA77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494D9C"/>
    <w:multiLevelType w:val="hybridMultilevel"/>
    <w:tmpl w:val="1182179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C907448"/>
    <w:multiLevelType w:val="hybridMultilevel"/>
    <w:tmpl w:val="C23623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796D18"/>
    <w:multiLevelType w:val="hybridMultilevel"/>
    <w:tmpl w:val="75CEDBDE"/>
    <w:lvl w:ilvl="0" w:tplc="A44A3B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9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E254DD"/>
    <w:multiLevelType w:val="hybridMultilevel"/>
    <w:tmpl w:val="15407A16"/>
    <w:lvl w:ilvl="0" w:tplc="A6885B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E665A"/>
    <w:multiLevelType w:val="hybridMultilevel"/>
    <w:tmpl w:val="82CC74C0"/>
    <w:lvl w:ilvl="0" w:tplc="478AE2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01219A"/>
    <w:multiLevelType w:val="hybridMultilevel"/>
    <w:tmpl w:val="7FA8EC88"/>
    <w:lvl w:ilvl="0" w:tplc="1DD8439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5"/>
  </w:num>
  <w:num w:numId="8">
    <w:abstractNumId w:val="29"/>
  </w:num>
  <w:num w:numId="9">
    <w:abstractNumId w:val="10"/>
  </w:num>
  <w:num w:numId="10">
    <w:abstractNumId w:val="22"/>
  </w:num>
  <w:num w:numId="11">
    <w:abstractNumId w:val="9"/>
  </w:num>
  <w:num w:numId="12">
    <w:abstractNumId w:val="37"/>
  </w:num>
  <w:num w:numId="13">
    <w:abstractNumId w:val="29"/>
  </w:num>
  <w:num w:numId="14">
    <w:abstractNumId w:val="38"/>
  </w:num>
  <w:num w:numId="15">
    <w:abstractNumId w:val="24"/>
  </w:num>
  <w:num w:numId="16">
    <w:abstractNumId w:val="26"/>
  </w:num>
  <w:num w:numId="17">
    <w:abstractNumId w:val="25"/>
  </w:num>
  <w:num w:numId="18">
    <w:abstractNumId w:val="11"/>
  </w:num>
  <w:num w:numId="19">
    <w:abstractNumId w:val="21"/>
  </w:num>
  <w:num w:numId="20">
    <w:abstractNumId w:val="30"/>
  </w:num>
  <w:num w:numId="21">
    <w:abstractNumId w:val="17"/>
  </w:num>
  <w:num w:numId="22">
    <w:abstractNumId w:val="15"/>
  </w:num>
  <w:num w:numId="23">
    <w:abstractNumId w:val="33"/>
  </w:num>
  <w:num w:numId="24">
    <w:abstractNumId w:val="31"/>
  </w:num>
  <w:num w:numId="25">
    <w:abstractNumId w:val="20"/>
  </w:num>
  <w:num w:numId="26">
    <w:abstractNumId w:val="27"/>
  </w:num>
  <w:num w:numId="27">
    <w:abstractNumId w:val="36"/>
  </w:num>
  <w:num w:numId="28">
    <w:abstractNumId w:val="40"/>
  </w:num>
  <w:num w:numId="29">
    <w:abstractNumId w:val="16"/>
  </w:num>
  <w:num w:numId="30">
    <w:abstractNumId w:val="4"/>
  </w:num>
  <w:num w:numId="31">
    <w:abstractNumId w:val="2"/>
  </w:num>
  <w:num w:numId="32">
    <w:abstractNumId w:val="18"/>
  </w:num>
  <w:num w:numId="33">
    <w:abstractNumId w:val="35"/>
  </w:num>
  <w:num w:numId="34">
    <w:abstractNumId w:val="7"/>
  </w:num>
  <w:num w:numId="35">
    <w:abstractNumId w:val="28"/>
  </w:num>
  <w:num w:numId="36">
    <w:abstractNumId w:val="3"/>
  </w:num>
  <w:num w:numId="37">
    <w:abstractNumId w:val="8"/>
  </w:num>
  <w:num w:numId="38">
    <w:abstractNumId w:val="6"/>
  </w:num>
  <w:num w:numId="39">
    <w:abstractNumId w:val="12"/>
  </w:num>
  <w:num w:numId="40">
    <w:abstractNumId w:val="14"/>
  </w:num>
  <w:num w:numId="41">
    <w:abstractNumId w:val="32"/>
  </w:num>
  <w:num w:numId="42">
    <w:abstractNumId w:val="34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3550"/>
    <w:rsid w:val="00003938"/>
    <w:rsid w:val="0000461F"/>
    <w:rsid w:val="00004B06"/>
    <w:rsid w:val="00004ECE"/>
    <w:rsid w:val="00006B72"/>
    <w:rsid w:val="0001145D"/>
    <w:rsid w:val="000148B6"/>
    <w:rsid w:val="00016774"/>
    <w:rsid w:val="00016F68"/>
    <w:rsid w:val="00017313"/>
    <w:rsid w:val="00017514"/>
    <w:rsid w:val="000262DA"/>
    <w:rsid w:val="00026DB4"/>
    <w:rsid w:val="000300D0"/>
    <w:rsid w:val="000305C8"/>
    <w:rsid w:val="00030689"/>
    <w:rsid w:val="00033397"/>
    <w:rsid w:val="00035756"/>
    <w:rsid w:val="000365B5"/>
    <w:rsid w:val="00040095"/>
    <w:rsid w:val="00041B41"/>
    <w:rsid w:val="000421A3"/>
    <w:rsid w:val="000444F6"/>
    <w:rsid w:val="00045774"/>
    <w:rsid w:val="00050232"/>
    <w:rsid w:val="00050EB8"/>
    <w:rsid w:val="0005307C"/>
    <w:rsid w:val="00053614"/>
    <w:rsid w:val="0006082C"/>
    <w:rsid w:val="000667FA"/>
    <w:rsid w:val="000669F3"/>
    <w:rsid w:val="00071628"/>
    <w:rsid w:val="00071FFA"/>
    <w:rsid w:val="000720D3"/>
    <w:rsid w:val="000721A4"/>
    <w:rsid w:val="00073190"/>
    <w:rsid w:val="00073E26"/>
    <w:rsid w:val="0007527A"/>
    <w:rsid w:val="000802D7"/>
    <w:rsid w:val="00080512"/>
    <w:rsid w:val="0008057C"/>
    <w:rsid w:val="00081167"/>
    <w:rsid w:val="0008163D"/>
    <w:rsid w:val="00082916"/>
    <w:rsid w:val="000830B8"/>
    <w:rsid w:val="00090468"/>
    <w:rsid w:val="00091B51"/>
    <w:rsid w:val="00091E84"/>
    <w:rsid w:val="00092463"/>
    <w:rsid w:val="00094D4B"/>
    <w:rsid w:val="00094F90"/>
    <w:rsid w:val="00097704"/>
    <w:rsid w:val="000A1A7C"/>
    <w:rsid w:val="000A1E59"/>
    <w:rsid w:val="000A2C15"/>
    <w:rsid w:val="000A4929"/>
    <w:rsid w:val="000A66CF"/>
    <w:rsid w:val="000A7975"/>
    <w:rsid w:val="000B120E"/>
    <w:rsid w:val="000B255E"/>
    <w:rsid w:val="000B2938"/>
    <w:rsid w:val="000B6232"/>
    <w:rsid w:val="000B6309"/>
    <w:rsid w:val="000B7BCF"/>
    <w:rsid w:val="000B7D29"/>
    <w:rsid w:val="000C02E7"/>
    <w:rsid w:val="000C250C"/>
    <w:rsid w:val="000C27B8"/>
    <w:rsid w:val="000C31D6"/>
    <w:rsid w:val="000C3813"/>
    <w:rsid w:val="000C391A"/>
    <w:rsid w:val="000C522B"/>
    <w:rsid w:val="000C5373"/>
    <w:rsid w:val="000D1214"/>
    <w:rsid w:val="000D4E52"/>
    <w:rsid w:val="000D58AB"/>
    <w:rsid w:val="000D64D4"/>
    <w:rsid w:val="000D771B"/>
    <w:rsid w:val="000E07E9"/>
    <w:rsid w:val="000E2FD4"/>
    <w:rsid w:val="000E6EF7"/>
    <w:rsid w:val="000F2447"/>
    <w:rsid w:val="000F3E87"/>
    <w:rsid w:val="000F583D"/>
    <w:rsid w:val="000F68D9"/>
    <w:rsid w:val="000F6952"/>
    <w:rsid w:val="000F7070"/>
    <w:rsid w:val="0010023C"/>
    <w:rsid w:val="001009F6"/>
    <w:rsid w:val="00102724"/>
    <w:rsid w:val="00103E62"/>
    <w:rsid w:val="00105C1B"/>
    <w:rsid w:val="00107DBB"/>
    <w:rsid w:val="001165C0"/>
    <w:rsid w:val="001179A0"/>
    <w:rsid w:val="00117E0B"/>
    <w:rsid w:val="001338CF"/>
    <w:rsid w:val="00134582"/>
    <w:rsid w:val="00135404"/>
    <w:rsid w:val="00141C5A"/>
    <w:rsid w:val="001424ED"/>
    <w:rsid w:val="0014447F"/>
    <w:rsid w:val="001474B0"/>
    <w:rsid w:val="00147B64"/>
    <w:rsid w:val="001509A1"/>
    <w:rsid w:val="00156982"/>
    <w:rsid w:val="00166B07"/>
    <w:rsid w:val="00167BAB"/>
    <w:rsid w:val="00171463"/>
    <w:rsid w:val="00172D1A"/>
    <w:rsid w:val="001741A0"/>
    <w:rsid w:val="001754BD"/>
    <w:rsid w:val="00175840"/>
    <w:rsid w:val="00175B87"/>
    <w:rsid w:val="00175F35"/>
    <w:rsid w:val="00176919"/>
    <w:rsid w:val="00176AB1"/>
    <w:rsid w:val="00176E94"/>
    <w:rsid w:val="0018168F"/>
    <w:rsid w:val="0018288D"/>
    <w:rsid w:val="00183379"/>
    <w:rsid w:val="00183421"/>
    <w:rsid w:val="001842C2"/>
    <w:rsid w:val="00184951"/>
    <w:rsid w:val="00184C1C"/>
    <w:rsid w:val="0018583D"/>
    <w:rsid w:val="001863F5"/>
    <w:rsid w:val="00190EF7"/>
    <w:rsid w:val="001932F8"/>
    <w:rsid w:val="00194CD0"/>
    <w:rsid w:val="00194E93"/>
    <w:rsid w:val="00196498"/>
    <w:rsid w:val="001965CA"/>
    <w:rsid w:val="001A09FD"/>
    <w:rsid w:val="001A15E0"/>
    <w:rsid w:val="001A2A06"/>
    <w:rsid w:val="001A4238"/>
    <w:rsid w:val="001A4F33"/>
    <w:rsid w:val="001A6B9B"/>
    <w:rsid w:val="001B0809"/>
    <w:rsid w:val="001B1CB0"/>
    <w:rsid w:val="001B20C0"/>
    <w:rsid w:val="001B49C9"/>
    <w:rsid w:val="001B53E9"/>
    <w:rsid w:val="001B7DA9"/>
    <w:rsid w:val="001C26F1"/>
    <w:rsid w:val="001C3C05"/>
    <w:rsid w:val="001C451C"/>
    <w:rsid w:val="001C5CCF"/>
    <w:rsid w:val="001C75B0"/>
    <w:rsid w:val="001D2D88"/>
    <w:rsid w:val="001D3B44"/>
    <w:rsid w:val="001D3BFF"/>
    <w:rsid w:val="001D662B"/>
    <w:rsid w:val="001D68E2"/>
    <w:rsid w:val="001E30A4"/>
    <w:rsid w:val="001E3B2D"/>
    <w:rsid w:val="001E4F99"/>
    <w:rsid w:val="001E52C4"/>
    <w:rsid w:val="001E5E16"/>
    <w:rsid w:val="001E7664"/>
    <w:rsid w:val="001F168B"/>
    <w:rsid w:val="001F26FF"/>
    <w:rsid w:val="001F340A"/>
    <w:rsid w:val="001F36CE"/>
    <w:rsid w:val="001F4B39"/>
    <w:rsid w:val="001F660A"/>
    <w:rsid w:val="001F6890"/>
    <w:rsid w:val="001F7831"/>
    <w:rsid w:val="00200C50"/>
    <w:rsid w:val="00201C2F"/>
    <w:rsid w:val="00203F79"/>
    <w:rsid w:val="00204045"/>
    <w:rsid w:val="00206AB7"/>
    <w:rsid w:val="00211D93"/>
    <w:rsid w:val="002125B7"/>
    <w:rsid w:val="00214470"/>
    <w:rsid w:val="0021475B"/>
    <w:rsid w:val="0021621E"/>
    <w:rsid w:val="00216DE9"/>
    <w:rsid w:val="00217539"/>
    <w:rsid w:val="00220A33"/>
    <w:rsid w:val="002220DD"/>
    <w:rsid w:val="002223F5"/>
    <w:rsid w:val="00223DC5"/>
    <w:rsid w:val="0022606D"/>
    <w:rsid w:val="00231A80"/>
    <w:rsid w:val="00234E78"/>
    <w:rsid w:val="00236105"/>
    <w:rsid w:val="00240D5B"/>
    <w:rsid w:val="00241B8E"/>
    <w:rsid w:val="00243FBF"/>
    <w:rsid w:val="00245034"/>
    <w:rsid w:val="0025167B"/>
    <w:rsid w:val="002519DA"/>
    <w:rsid w:val="00256F2C"/>
    <w:rsid w:val="002605EF"/>
    <w:rsid w:val="00261F2C"/>
    <w:rsid w:val="00263A6D"/>
    <w:rsid w:val="002710CA"/>
    <w:rsid w:val="002713CD"/>
    <w:rsid w:val="0027345D"/>
    <w:rsid w:val="00273999"/>
    <w:rsid w:val="00273A62"/>
    <w:rsid w:val="002747EC"/>
    <w:rsid w:val="00276371"/>
    <w:rsid w:val="00283F97"/>
    <w:rsid w:val="00284494"/>
    <w:rsid w:val="002845F1"/>
    <w:rsid w:val="002855BF"/>
    <w:rsid w:val="0028563D"/>
    <w:rsid w:val="0028663D"/>
    <w:rsid w:val="00290BB8"/>
    <w:rsid w:val="002911D6"/>
    <w:rsid w:val="002949B1"/>
    <w:rsid w:val="00295868"/>
    <w:rsid w:val="002B0F75"/>
    <w:rsid w:val="002B5DDB"/>
    <w:rsid w:val="002C1A15"/>
    <w:rsid w:val="002C1E0D"/>
    <w:rsid w:val="002C52AF"/>
    <w:rsid w:val="002C614A"/>
    <w:rsid w:val="002C7FDB"/>
    <w:rsid w:val="002D09FC"/>
    <w:rsid w:val="002D3281"/>
    <w:rsid w:val="002D3588"/>
    <w:rsid w:val="002D77A7"/>
    <w:rsid w:val="002F0779"/>
    <w:rsid w:val="002F0D22"/>
    <w:rsid w:val="002F23D8"/>
    <w:rsid w:val="002F5187"/>
    <w:rsid w:val="002F6E4D"/>
    <w:rsid w:val="0030003D"/>
    <w:rsid w:val="00302585"/>
    <w:rsid w:val="00304A8D"/>
    <w:rsid w:val="003066F3"/>
    <w:rsid w:val="00312AAD"/>
    <w:rsid w:val="003147BA"/>
    <w:rsid w:val="00314F3A"/>
    <w:rsid w:val="00315572"/>
    <w:rsid w:val="00316195"/>
    <w:rsid w:val="003161B4"/>
    <w:rsid w:val="003172DC"/>
    <w:rsid w:val="003226A8"/>
    <w:rsid w:val="00322FA8"/>
    <w:rsid w:val="00323AE7"/>
    <w:rsid w:val="00325B90"/>
    <w:rsid w:val="00326069"/>
    <w:rsid w:val="00326746"/>
    <w:rsid w:val="00326F85"/>
    <w:rsid w:val="00330F1F"/>
    <w:rsid w:val="003322F2"/>
    <w:rsid w:val="003341A9"/>
    <w:rsid w:val="0034053B"/>
    <w:rsid w:val="003442E1"/>
    <w:rsid w:val="00351C31"/>
    <w:rsid w:val="00352D97"/>
    <w:rsid w:val="00353CC9"/>
    <w:rsid w:val="0035462D"/>
    <w:rsid w:val="00356B6C"/>
    <w:rsid w:val="0035791B"/>
    <w:rsid w:val="00357FD7"/>
    <w:rsid w:val="00360229"/>
    <w:rsid w:val="00365FF9"/>
    <w:rsid w:val="00367759"/>
    <w:rsid w:val="0036776D"/>
    <w:rsid w:val="00370277"/>
    <w:rsid w:val="0037324E"/>
    <w:rsid w:val="00373801"/>
    <w:rsid w:val="00375DC4"/>
    <w:rsid w:val="00376ABD"/>
    <w:rsid w:val="003806CC"/>
    <w:rsid w:val="003831FA"/>
    <w:rsid w:val="00384421"/>
    <w:rsid w:val="00390123"/>
    <w:rsid w:val="0039016B"/>
    <w:rsid w:val="00391F3E"/>
    <w:rsid w:val="00394576"/>
    <w:rsid w:val="003A0B9A"/>
    <w:rsid w:val="003A4E98"/>
    <w:rsid w:val="003A5A3E"/>
    <w:rsid w:val="003A6548"/>
    <w:rsid w:val="003B0D89"/>
    <w:rsid w:val="003B1B28"/>
    <w:rsid w:val="003B237C"/>
    <w:rsid w:val="003B5C33"/>
    <w:rsid w:val="003B623A"/>
    <w:rsid w:val="003C0494"/>
    <w:rsid w:val="003C0D48"/>
    <w:rsid w:val="003C21BD"/>
    <w:rsid w:val="003C3187"/>
    <w:rsid w:val="003C3F24"/>
    <w:rsid w:val="003C4E37"/>
    <w:rsid w:val="003D00EE"/>
    <w:rsid w:val="003D2698"/>
    <w:rsid w:val="003D403D"/>
    <w:rsid w:val="003D404A"/>
    <w:rsid w:val="003D53E9"/>
    <w:rsid w:val="003D5D0B"/>
    <w:rsid w:val="003D6E96"/>
    <w:rsid w:val="003D701A"/>
    <w:rsid w:val="003E16BE"/>
    <w:rsid w:val="003E42C7"/>
    <w:rsid w:val="003E489F"/>
    <w:rsid w:val="003E648B"/>
    <w:rsid w:val="003E6A5A"/>
    <w:rsid w:val="003F2EBC"/>
    <w:rsid w:val="003F314D"/>
    <w:rsid w:val="003F4691"/>
    <w:rsid w:val="00401855"/>
    <w:rsid w:val="00401B96"/>
    <w:rsid w:val="0040324D"/>
    <w:rsid w:val="004066C0"/>
    <w:rsid w:val="00414F32"/>
    <w:rsid w:val="004243A0"/>
    <w:rsid w:val="00424666"/>
    <w:rsid w:val="004264F7"/>
    <w:rsid w:val="0043021C"/>
    <w:rsid w:val="004316F5"/>
    <w:rsid w:val="00432EA4"/>
    <w:rsid w:val="004333E6"/>
    <w:rsid w:val="004337BD"/>
    <w:rsid w:val="00434044"/>
    <w:rsid w:val="004353C8"/>
    <w:rsid w:val="00436462"/>
    <w:rsid w:val="00442675"/>
    <w:rsid w:val="00442797"/>
    <w:rsid w:val="00444409"/>
    <w:rsid w:val="00445319"/>
    <w:rsid w:val="00445AB5"/>
    <w:rsid w:val="00450E27"/>
    <w:rsid w:val="00451022"/>
    <w:rsid w:val="00452DFC"/>
    <w:rsid w:val="0045347A"/>
    <w:rsid w:val="004551C1"/>
    <w:rsid w:val="00464F3F"/>
    <w:rsid w:val="00466118"/>
    <w:rsid w:val="00467F50"/>
    <w:rsid w:val="00473DDB"/>
    <w:rsid w:val="00476542"/>
    <w:rsid w:val="00477455"/>
    <w:rsid w:val="00481014"/>
    <w:rsid w:val="004813D0"/>
    <w:rsid w:val="004819E2"/>
    <w:rsid w:val="00482066"/>
    <w:rsid w:val="004820E3"/>
    <w:rsid w:val="0048229C"/>
    <w:rsid w:val="004833DE"/>
    <w:rsid w:val="0048562F"/>
    <w:rsid w:val="004870DE"/>
    <w:rsid w:val="004874FB"/>
    <w:rsid w:val="0049353A"/>
    <w:rsid w:val="004949CD"/>
    <w:rsid w:val="004A0324"/>
    <w:rsid w:val="004A20E8"/>
    <w:rsid w:val="004A26DA"/>
    <w:rsid w:val="004A3060"/>
    <w:rsid w:val="004A4285"/>
    <w:rsid w:val="004A51E7"/>
    <w:rsid w:val="004A56F5"/>
    <w:rsid w:val="004A6695"/>
    <w:rsid w:val="004A7509"/>
    <w:rsid w:val="004B01F8"/>
    <w:rsid w:val="004B05D7"/>
    <w:rsid w:val="004B0867"/>
    <w:rsid w:val="004B1DE0"/>
    <w:rsid w:val="004B3157"/>
    <w:rsid w:val="004B3CD3"/>
    <w:rsid w:val="004B4FB4"/>
    <w:rsid w:val="004C0152"/>
    <w:rsid w:val="004C4287"/>
    <w:rsid w:val="004C42FF"/>
    <w:rsid w:val="004D1003"/>
    <w:rsid w:val="004D19ED"/>
    <w:rsid w:val="004D2FAA"/>
    <w:rsid w:val="004D3578"/>
    <w:rsid w:val="004D380D"/>
    <w:rsid w:val="004D5E3E"/>
    <w:rsid w:val="004E213A"/>
    <w:rsid w:val="004E3459"/>
    <w:rsid w:val="004E7EFC"/>
    <w:rsid w:val="004F5AB8"/>
    <w:rsid w:val="00500679"/>
    <w:rsid w:val="005011D6"/>
    <w:rsid w:val="00503171"/>
    <w:rsid w:val="005050ED"/>
    <w:rsid w:val="00506060"/>
    <w:rsid w:val="00507AF5"/>
    <w:rsid w:val="00507EF5"/>
    <w:rsid w:val="00512082"/>
    <w:rsid w:val="0051369E"/>
    <w:rsid w:val="0051469E"/>
    <w:rsid w:val="005151D2"/>
    <w:rsid w:val="005252D5"/>
    <w:rsid w:val="0053272E"/>
    <w:rsid w:val="00533BAF"/>
    <w:rsid w:val="00534DA0"/>
    <w:rsid w:val="00536EFE"/>
    <w:rsid w:val="005376E1"/>
    <w:rsid w:val="00540EF4"/>
    <w:rsid w:val="00542E57"/>
    <w:rsid w:val="00543E6C"/>
    <w:rsid w:val="00544ECE"/>
    <w:rsid w:val="00545EAB"/>
    <w:rsid w:val="00546C2C"/>
    <w:rsid w:val="00546DC4"/>
    <w:rsid w:val="00546DCA"/>
    <w:rsid w:val="00547A4C"/>
    <w:rsid w:val="00555110"/>
    <w:rsid w:val="0055557C"/>
    <w:rsid w:val="00555F8C"/>
    <w:rsid w:val="00562911"/>
    <w:rsid w:val="00562A0C"/>
    <w:rsid w:val="00565087"/>
    <w:rsid w:val="005652C0"/>
    <w:rsid w:val="0056573F"/>
    <w:rsid w:val="00567CAE"/>
    <w:rsid w:val="005711AE"/>
    <w:rsid w:val="005776D7"/>
    <w:rsid w:val="00583485"/>
    <w:rsid w:val="00583C26"/>
    <w:rsid w:val="00583E34"/>
    <w:rsid w:val="0059000D"/>
    <w:rsid w:val="00590282"/>
    <w:rsid w:val="005916E6"/>
    <w:rsid w:val="005917F2"/>
    <w:rsid w:val="005929E7"/>
    <w:rsid w:val="00592A31"/>
    <w:rsid w:val="005935C6"/>
    <w:rsid w:val="00596830"/>
    <w:rsid w:val="00596CF8"/>
    <w:rsid w:val="005A16DC"/>
    <w:rsid w:val="005A1848"/>
    <w:rsid w:val="005A3663"/>
    <w:rsid w:val="005A3851"/>
    <w:rsid w:val="005A5048"/>
    <w:rsid w:val="005A504B"/>
    <w:rsid w:val="005A60AA"/>
    <w:rsid w:val="005B0554"/>
    <w:rsid w:val="005B0A7B"/>
    <w:rsid w:val="005B2EA4"/>
    <w:rsid w:val="005B3245"/>
    <w:rsid w:val="005B511C"/>
    <w:rsid w:val="005C036F"/>
    <w:rsid w:val="005C0FDB"/>
    <w:rsid w:val="005C1BF3"/>
    <w:rsid w:val="005C225C"/>
    <w:rsid w:val="005C2293"/>
    <w:rsid w:val="005C31FC"/>
    <w:rsid w:val="005D343C"/>
    <w:rsid w:val="005D4960"/>
    <w:rsid w:val="005D7E55"/>
    <w:rsid w:val="005E2BDD"/>
    <w:rsid w:val="005E2E15"/>
    <w:rsid w:val="005E36B0"/>
    <w:rsid w:val="005E5F83"/>
    <w:rsid w:val="005E6552"/>
    <w:rsid w:val="005E7638"/>
    <w:rsid w:val="005F4717"/>
    <w:rsid w:val="005F5C79"/>
    <w:rsid w:val="00600984"/>
    <w:rsid w:val="006028B1"/>
    <w:rsid w:val="00602ADE"/>
    <w:rsid w:val="00610F52"/>
    <w:rsid w:val="00611566"/>
    <w:rsid w:val="00613A76"/>
    <w:rsid w:val="00615A3F"/>
    <w:rsid w:val="00616A9C"/>
    <w:rsid w:val="00616DEF"/>
    <w:rsid w:val="00616F25"/>
    <w:rsid w:val="00616FFF"/>
    <w:rsid w:val="00620055"/>
    <w:rsid w:val="00622AB4"/>
    <w:rsid w:val="00625148"/>
    <w:rsid w:val="00625433"/>
    <w:rsid w:val="00633780"/>
    <w:rsid w:val="00633831"/>
    <w:rsid w:val="00637499"/>
    <w:rsid w:val="00637734"/>
    <w:rsid w:val="00641384"/>
    <w:rsid w:val="0064349F"/>
    <w:rsid w:val="00643F88"/>
    <w:rsid w:val="00646886"/>
    <w:rsid w:val="00646D99"/>
    <w:rsid w:val="006475B9"/>
    <w:rsid w:val="006516F9"/>
    <w:rsid w:val="00651940"/>
    <w:rsid w:val="00654974"/>
    <w:rsid w:val="006550E8"/>
    <w:rsid w:val="00656910"/>
    <w:rsid w:val="0066204B"/>
    <w:rsid w:val="006625F8"/>
    <w:rsid w:val="00662621"/>
    <w:rsid w:val="006646E7"/>
    <w:rsid w:val="00664B16"/>
    <w:rsid w:val="00665F61"/>
    <w:rsid w:val="0067360E"/>
    <w:rsid w:val="0067536C"/>
    <w:rsid w:val="00675721"/>
    <w:rsid w:val="00676EB2"/>
    <w:rsid w:val="0067704E"/>
    <w:rsid w:val="00677229"/>
    <w:rsid w:val="006776D1"/>
    <w:rsid w:val="006806B5"/>
    <w:rsid w:val="00680CA2"/>
    <w:rsid w:val="0068143A"/>
    <w:rsid w:val="00685BC9"/>
    <w:rsid w:val="00685F26"/>
    <w:rsid w:val="006869E6"/>
    <w:rsid w:val="00690C58"/>
    <w:rsid w:val="00697551"/>
    <w:rsid w:val="006A0B35"/>
    <w:rsid w:val="006A28E7"/>
    <w:rsid w:val="006A3914"/>
    <w:rsid w:val="006A3A1E"/>
    <w:rsid w:val="006A4F7F"/>
    <w:rsid w:val="006B11EE"/>
    <w:rsid w:val="006B19D5"/>
    <w:rsid w:val="006B19D6"/>
    <w:rsid w:val="006B3C7A"/>
    <w:rsid w:val="006B5E82"/>
    <w:rsid w:val="006B6C1A"/>
    <w:rsid w:val="006C060B"/>
    <w:rsid w:val="006C0AD2"/>
    <w:rsid w:val="006C115F"/>
    <w:rsid w:val="006C292F"/>
    <w:rsid w:val="006C2E90"/>
    <w:rsid w:val="006C2F98"/>
    <w:rsid w:val="006C48CB"/>
    <w:rsid w:val="006C56D6"/>
    <w:rsid w:val="006C66D8"/>
    <w:rsid w:val="006C7481"/>
    <w:rsid w:val="006D1E24"/>
    <w:rsid w:val="006D4014"/>
    <w:rsid w:val="006D4ABF"/>
    <w:rsid w:val="006D6055"/>
    <w:rsid w:val="006D7A6B"/>
    <w:rsid w:val="006E0C86"/>
    <w:rsid w:val="006E3A96"/>
    <w:rsid w:val="006E3B45"/>
    <w:rsid w:val="006E7304"/>
    <w:rsid w:val="006F09D5"/>
    <w:rsid w:val="006F3924"/>
    <w:rsid w:val="006F4D19"/>
    <w:rsid w:val="006F6A2C"/>
    <w:rsid w:val="00700336"/>
    <w:rsid w:val="00702306"/>
    <w:rsid w:val="007054E8"/>
    <w:rsid w:val="007064D2"/>
    <w:rsid w:val="00710479"/>
    <w:rsid w:val="00711C2D"/>
    <w:rsid w:val="007201A8"/>
    <w:rsid w:val="007202FD"/>
    <w:rsid w:val="00726ECF"/>
    <w:rsid w:val="00730DCC"/>
    <w:rsid w:val="00734599"/>
    <w:rsid w:val="00734A5B"/>
    <w:rsid w:val="007358E7"/>
    <w:rsid w:val="007372BA"/>
    <w:rsid w:val="007379F5"/>
    <w:rsid w:val="00741D53"/>
    <w:rsid w:val="00742493"/>
    <w:rsid w:val="00743256"/>
    <w:rsid w:val="007434CF"/>
    <w:rsid w:val="00744E76"/>
    <w:rsid w:val="00745266"/>
    <w:rsid w:val="00745BD6"/>
    <w:rsid w:val="00745DF4"/>
    <w:rsid w:val="00751942"/>
    <w:rsid w:val="00751E84"/>
    <w:rsid w:val="00751E9F"/>
    <w:rsid w:val="007546F4"/>
    <w:rsid w:val="00754703"/>
    <w:rsid w:val="00755597"/>
    <w:rsid w:val="00755CCE"/>
    <w:rsid w:val="00757D40"/>
    <w:rsid w:val="007619AF"/>
    <w:rsid w:val="00762C90"/>
    <w:rsid w:val="00762E74"/>
    <w:rsid w:val="00763A99"/>
    <w:rsid w:val="00771319"/>
    <w:rsid w:val="00771E5B"/>
    <w:rsid w:val="0077247E"/>
    <w:rsid w:val="00772D0D"/>
    <w:rsid w:val="00773A5C"/>
    <w:rsid w:val="00775398"/>
    <w:rsid w:val="00781F0F"/>
    <w:rsid w:val="00783CF8"/>
    <w:rsid w:val="00783D67"/>
    <w:rsid w:val="00784420"/>
    <w:rsid w:val="00784630"/>
    <w:rsid w:val="00785A41"/>
    <w:rsid w:val="0078727C"/>
    <w:rsid w:val="00794382"/>
    <w:rsid w:val="00794703"/>
    <w:rsid w:val="007A0D95"/>
    <w:rsid w:val="007A2E8D"/>
    <w:rsid w:val="007A3007"/>
    <w:rsid w:val="007A30E4"/>
    <w:rsid w:val="007A35F3"/>
    <w:rsid w:val="007A6DD5"/>
    <w:rsid w:val="007A7A31"/>
    <w:rsid w:val="007B083C"/>
    <w:rsid w:val="007B18D8"/>
    <w:rsid w:val="007B5B70"/>
    <w:rsid w:val="007B5E5E"/>
    <w:rsid w:val="007C095F"/>
    <w:rsid w:val="007C20EA"/>
    <w:rsid w:val="007C367C"/>
    <w:rsid w:val="007D4B8E"/>
    <w:rsid w:val="007D5052"/>
    <w:rsid w:val="007D5ABF"/>
    <w:rsid w:val="007E0E7C"/>
    <w:rsid w:val="007E2C59"/>
    <w:rsid w:val="007E3F64"/>
    <w:rsid w:val="007E5ACF"/>
    <w:rsid w:val="007F0047"/>
    <w:rsid w:val="007F08A7"/>
    <w:rsid w:val="007F1977"/>
    <w:rsid w:val="007F3BC4"/>
    <w:rsid w:val="007F6471"/>
    <w:rsid w:val="007F71DF"/>
    <w:rsid w:val="00801BFD"/>
    <w:rsid w:val="008028A4"/>
    <w:rsid w:val="00803572"/>
    <w:rsid w:val="0080416D"/>
    <w:rsid w:val="00804D89"/>
    <w:rsid w:val="008068B6"/>
    <w:rsid w:val="00806CC4"/>
    <w:rsid w:val="00814B79"/>
    <w:rsid w:val="00816D4D"/>
    <w:rsid w:val="00823F2B"/>
    <w:rsid w:val="008253C4"/>
    <w:rsid w:val="00826144"/>
    <w:rsid w:val="008268CE"/>
    <w:rsid w:val="008314F0"/>
    <w:rsid w:val="00833BD5"/>
    <w:rsid w:val="00834AD1"/>
    <w:rsid w:val="008353F8"/>
    <w:rsid w:val="008356D7"/>
    <w:rsid w:val="00835C87"/>
    <w:rsid w:val="00837BE9"/>
    <w:rsid w:val="0084037D"/>
    <w:rsid w:val="00841E49"/>
    <w:rsid w:val="00842014"/>
    <w:rsid w:val="008429F0"/>
    <w:rsid w:val="00843BD9"/>
    <w:rsid w:val="008502AE"/>
    <w:rsid w:val="00852894"/>
    <w:rsid w:val="008531D2"/>
    <w:rsid w:val="00855460"/>
    <w:rsid w:val="00856C34"/>
    <w:rsid w:val="00857C11"/>
    <w:rsid w:val="00857C54"/>
    <w:rsid w:val="008610FC"/>
    <w:rsid w:val="00862780"/>
    <w:rsid w:val="0086539A"/>
    <w:rsid w:val="00865E56"/>
    <w:rsid w:val="00865ECC"/>
    <w:rsid w:val="00865FF5"/>
    <w:rsid w:val="008663F0"/>
    <w:rsid w:val="0086716D"/>
    <w:rsid w:val="00867BC4"/>
    <w:rsid w:val="008717A7"/>
    <w:rsid w:val="008734DC"/>
    <w:rsid w:val="008737F7"/>
    <w:rsid w:val="0087443D"/>
    <w:rsid w:val="00876054"/>
    <w:rsid w:val="008768CA"/>
    <w:rsid w:val="00877F26"/>
    <w:rsid w:val="00880559"/>
    <w:rsid w:val="00880581"/>
    <w:rsid w:val="00881B80"/>
    <w:rsid w:val="00883564"/>
    <w:rsid w:val="008840FF"/>
    <w:rsid w:val="00884944"/>
    <w:rsid w:val="00884E63"/>
    <w:rsid w:val="00886976"/>
    <w:rsid w:val="00886D88"/>
    <w:rsid w:val="00886E81"/>
    <w:rsid w:val="00891FF6"/>
    <w:rsid w:val="008930EB"/>
    <w:rsid w:val="00895E1E"/>
    <w:rsid w:val="00897816"/>
    <w:rsid w:val="008A1F7A"/>
    <w:rsid w:val="008A28E3"/>
    <w:rsid w:val="008A3F74"/>
    <w:rsid w:val="008A4B4F"/>
    <w:rsid w:val="008A6D26"/>
    <w:rsid w:val="008A7413"/>
    <w:rsid w:val="008B0648"/>
    <w:rsid w:val="008B2259"/>
    <w:rsid w:val="008B5129"/>
    <w:rsid w:val="008B59AA"/>
    <w:rsid w:val="008B7A6D"/>
    <w:rsid w:val="008C3221"/>
    <w:rsid w:val="008C3393"/>
    <w:rsid w:val="008C5574"/>
    <w:rsid w:val="008C6DD7"/>
    <w:rsid w:val="008D023E"/>
    <w:rsid w:val="008D4244"/>
    <w:rsid w:val="008D5017"/>
    <w:rsid w:val="008D5B3C"/>
    <w:rsid w:val="008D5DA7"/>
    <w:rsid w:val="008D7B95"/>
    <w:rsid w:val="008E4342"/>
    <w:rsid w:val="008E4501"/>
    <w:rsid w:val="008E4CD8"/>
    <w:rsid w:val="008E61D2"/>
    <w:rsid w:val="008E775F"/>
    <w:rsid w:val="008F2F50"/>
    <w:rsid w:val="008F32DB"/>
    <w:rsid w:val="008F3F8D"/>
    <w:rsid w:val="008F4A6B"/>
    <w:rsid w:val="008F535D"/>
    <w:rsid w:val="008F5C7B"/>
    <w:rsid w:val="009005E0"/>
    <w:rsid w:val="00900A72"/>
    <w:rsid w:val="0090187F"/>
    <w:rsid w:val="0090235E"/>
    <w:rsid w:val="0090271F"/>
    <w:rsid w:val="009064A4"/>
    <w:rsid w:val="009077EE"/>
    <w:rsid w:val="00911E6F"/>
    <w:rsid w:val="0091687F"/>
    <w:rsid w:val="00916B4F"/>
    <w:rsid w:val="009175D3"/>
    <w:rsid w:val="00917EDB"/>
    <w:rsid w:val="009214F0"/>
    <w:rsid w:val="0092185B"/>
    <w:rsid w:val="00921AE5"/>
    <w:rsid w:val="00921B9C"/>
    <w:rsid w:val="00921FEF"/>
    <w:rsid w:val="0092298B"/>
    <w:rsid w:val="00931061"/>
    <w:rsid w:val="009311B3"/>
    <w:rsid w:val="009331D8"/>
    <w:rsid w:val="00933DF8"/>
    <w:rsid w:val="00933E02"/>
    <w:rsid w:val="009368F7"/>
    <w:rsid w:val="00937E12"/>
    <w:rsid w:val="00940F61"/>
    <w:rsid w:val="00942B3C"/>
    <w:rsid w:val="00942EC2"/>
    <w:rsid w:val="009448D9"/>
    <w:rsid w:val="009511C9"/>
    <w:rsid w:val="00951CDB"/>
    <w:rsid w:val="00951E0B"/>
    <w:rsid w:val="00952266"/>
    <w:rsid w:val="009556D8"/>
    <w:rsid w:val="00955881"/>
    <w:rsid w:val="009565C4"/>
    <w:rsid w:val="00956DD7"/>
    <w:rsid w:val="00960467"/>
    <w:rsid w:val="009611F8"/>
    <w:rsid w:val="00961B32"/>
    <w:rsid w:val="0096422C"/>
    <w:rsid w:val="009664FF"/>
    <w:rsid w:val="0097376D"/>
    <w:rsid w:val="009749EB"/>
    <w:rsid w:val="00974BB0"/>
    <w:rsid w:val="00977040"/>
    <w:rsid w:val="009771D0"/>
    <w:rsid w:val="0097768B"/>
    <w:rsid w:val="009802BA"/>
    <w:rsid w:val="00980D60"/>
    <w:rsid w:val="00983994"/>
    <w:rsid w:val="00985967"/>
    <w:rsid w:val="00987003"/>
    <w:rsid w:val="009873A3"/>
    <w:rsid w:val="009905B5"/>
    <w:rsid w:val="00990BDE"/>
    <w:rsid w:val="009957D3"/>
    <w:rsid w:val="0099715B"/>
    <w:rsid w:val="00997F3F"/>
    <w:rsid w:val="009A1C6C"/>
    <w:rsid w:val="009A28BB"/>
    <w:rsid w:val="009A4CA9"/>
    <w:rsid w:val="009B04B1"/>
    <w:rsid w:val="009B07CD"/>
    <w:rsid w:val="009B1E03"/>
    <w:rsid w:val="009B3D15"/>
    <w:rsid w:val="009B48EC"/>
    <w:rsid w:val="009B5C9C"/>
    <w:rsid w:val="009B602B"/>
    <w:rsid w:val="009C0CDF"/>
    <w:rsid w:val="009C0FC4"/>
    <w:rsid w:val="009C1CCA"/>
    <w:rsid w:val="009C229E"/>
    <w:rsid w:val="009C25BC"/>
    <w:rsid w:val="009C3AFC"/>
    <w:rsid w:val="009C6446"/>
    <w:rsid w:val="009C6FE1"/>
    <w:rsid w:val="009C7434"/>
    <w:rsid w:val="009D0471"/>
    <w:rsid w:val="009D1C85"/>
    <w:rsid w:val="009D2A14"/>
    <w:rsid w:val="009D3E41"/>
    <w:rsid w:val="009D547F"/>
    <w:rsid w:val="009E2550"/>
    <w:rsid w:val="009E3147"/>
    <w:rsid w:val="009E4150"/>
    <w:rsid w:val="009E4BB8"/>
    <w:rsid w:val="009E5263"/>
    <w:rsid w:val="009E564C"/>
    <w:rsid w:val="009E6120"/>
    <w:rsid w:val="009E7A4D"/>
    <w:rsid w:val="009F0751"/>
    <w:rsid w:val="009F0B2A"/>
    <w:rsid w:val="009F1CA2"/>
    <w:rsid w:val="009F2645"/>
    <w:rsid w:val="009F5447"/>
    <w:rsid w:val="009F62EC"/>
    <w:rsid w:val="009F6E12"/>
    <w:rsid w:val="00A01198"/>
    <w:rsid w:val="00A02E33"/>
    <w:rsid w:val="00A02EA2"/>
    <w:rsid w:val="00A0486E"/>
    <w:rsid w:val="00A059A4"/>
    <w:rsid w:val="00A06A73"/>
    <w:rsid w:val="00A10F02"/>
    <w:rsid w:val="00A122CF"/>
    <w:rsid w:val="00A1478A"/>
    <w:rsid w:val="00A14B2B"/>
    <w:rsid w:val="00A2217A"/>
    <w:rsid w:val="00A22AB1"/>
    <w:rsid w:val="00A26EDE"/>
    <w:rsid w:val="00A31DAD"/>
    <w:rsid w:val="00A325B1"/>
    <w:rsid w:val="00A34246"/>
    <w:rsid w:val="00A34699"/>
    <w:rsid w:val="00A35361"/>
    <w:rsid w:val="00A35D44"/>
    <w:rsid w:val="00A35FB4"/>
    <w:rsid w:val="00A36BCE"/>
    <w:rsid w:val="00A400FD"/>
    <w:rsid w:val="00A41AF6"/>
    <w:rsid w:val="00A44C13"/>
    <w:rsid w:val="00A45FE2"/>
    <w:rsid w:val="00A47851"/>
    <w:rsid w:val="00A53724"/>
    <w:rsid w:val="00A54AE0"/>
    <w:rsid w:val="00A558DF"/>
    <w:rsid w:val="00A56387"/>
    <w:rsid w:val="00A5684F"/>
    <w:rsid w:val="00A575A8"/>
    <w:rsid w:val="00A6158D"/>
    <w:rsid w:val="00A61A23"/>
    <w:rsid w:val="00A6254B"/>
    <w:rsid w:val="00A64375"/>
    <w:rsid w:val="00A64C65"/>
    <w:rsid w:val="00A6603C"/>
    <w:rsid w:val="00A70614"/>
    <w:rsid w:val="00A70BEF"/>
    <w:rsid w:val="00A7177C"/>
    <w:rsid w:val="00A73D42"/>
    <w:rsid w:val="00A749D5"/>
    <w:rsid w:val="00A759F8"/>
    <w:rsid w:val="00A7637D"/>
    <w:rsid w:val="00A76C91"/>
    <w:rsid w:val="00A80D61"/>
    <w:rsid w:val="00A82346"/>
    <w:rsid w:val="00A84BE4"/>
    <w:rsid w:val="00A9671C"/>
    <w:rsid w:val="00AA19A7"/>
    <w:rsid w:val="00AA1BC1"/>
    <w:rsid w:val="00AA22D1"/>
    <w:rsid w:val="00AA31D3"/>
    <w:rsid w:val="00AA48B1"/>
    <w:rsid w:val="00AA5A96"/>
    <w:rsid w:val="00AA5E39"/>
    <w:rsid w:val="00AA6C9A"/>
    <w:rsid w:val="00AA715B"/>
    <w:rsid w:val="00AB12B3"/>
    <w:rsid w:val="00AB1C69"/>
    <w:rsid w:val="00AB21D9"/>
    <w:rsid w:val="00AB4D6C"/>
    <w:rsid w:val="00AB5D9E"/>
    <w:rsid w:val="00AB7E8E"/>
    <w:rsid w:val="00AC1C66"/>
    <w:rsid w:val="00AC22FF"/>
    <w:rsid w:val="00AC34CB"/>
    <w:rsid w:val="00AC43E6"/>
    <w:rsid w:val="00AC4BFF"/>
    <w:rsid w:val="00AC61FA"/>
    <w:rsid w:val="00AD0ACD"/>
    <w:rsid w:val="00AD1B77"/>
    <w:rsid w:val="00AD7312"/>
    <w:rsid w:val="00AE040B"/>
    <w:rsid w:val="00AE1560"/>
    <w:rsid w:val="00AE7595"/>
    <w:rsid w:val="00AF3271"/>
    <w:rsid w:val="00AF3588"/>
    <w:rsid w:val="00AF474E"/>
    <w:rsid w:val="00AF5F0B"/>
    <w:rsid w:val="00AF6B94"/>
    <w:rsid w:val="00B00D9F"/>
    <w:rsid w:val="00B00FC1"/>
    <w:rsid w:val="00B02DCA"/>
    <w:rsid w:val="00B05FE9"/>
    <w:rsid w:val="00B05FF1"/>
    <w:rsid w:val="00B075FF"/>
    <w:rsid w:val="00B07A03"/>
    <w:rsid w:val="00B106C3"/>
    <w:rsid w:val="00B151BE"/>
    <w:rsid w:val="00B15449"/>
    <w:rsid w:val="00B1576F"/>
    <w:rsid w:val="00B210BD"/>
    <w:rsid w:val="00B21FDB"/>
    <w:rsid w:val="00B22A1E"/>
    <w:rsid w:val="00B25C4D"/>
    <w:rsid w:val="00B35A7C"/>
    <w:rsid w:val="00B3671D"/>
    <w:rsid w:val="00B36A57"/>
    <w:rsid w:val="00B37D83"/>
    <w:rsid w:val="00B403B3"/>
    <w:rsid w:val="00B407B7"/>
    <w:rsid w:val="00B40FEB"/>
    <w:rsid w:val="00B419A4"/>
    <w:rsid w:val="00B41E66"/>
    <w:rsid w:val="00B421F2"/>
    <w:rsid w:val="00B43D72"/>
    <w:rsid w:val="00B45AD8"/>
    <w:rsid w:val="00B47333"/>
    <w:rsid w:val="00B47701"/>
    <w:rsid w:val="00B47FD1"/>
    <w:rsid w:val="00B52126"/>
    <w:rsid w:val="00B52237"/>
    <w:rsid w:val="00B537A5"/>
    <w:rsid w:val="00B55E03"/>
    <w:rsid w:val="00B56C6F"/>
    <w:rsid w:val="00B60ED3"/>
    <w:rsid w:val="00B61F7F"/>
    <w:rsid w:val="00B62978"/>
    <w:rsid w:val="00B62C44"/>
    <w:rsid w:val="00B643EA"/>
    <w:rsid w:val="00B65110"/>
    <w:rsid w:val="00B66AE5"/>
    <w:rsid w:val="00B7177F"/>
    <w:rsid w:val="00B72004"/>
    <w:rsid w:val="00B725C8"/>
    <w:rsid w:val="00B729FF"/>
    <w:rsid w:val="00B72E1A"/>
    <w:rsid w:val="00B75553"/>
    <w:rsid w:val="00B7607B"/>
    <w:rsid w:val="00B7710D"/>
    <w:rsid w:val="00B81BE2"/>
    <w:rsid w:val="00B84530"/>
    <w:rsid w:val="00B84CDC"/>
    <w:rsid w:val="00B858DB"/>
    <w:rsid w:val="00B85923"/>
    <w:rsid w:val="00B8592F"/>
    <w:rsid w:val="00B87AB3"/>
    <w:rsid w:val="00B91069"/>
    <w:rsid w:val="00B91165"/>
    <w:rsid w:val="00B93022"/>
    <w:rsid w:val="00B958F1"/>
    <w:rsid w:val="00B9597D"/>
    <w:rsid w:val="00B96C86"/>
    <w:rsid w:val="00B973DB"/>
    <w:rsid w:val="00B97475"/>
    <w:rsid w:val="00BA0577"/>
    <w:rsid w:val="00BA16F5"/>
    <w:rsid w:val="00BA1DA0"/>
    <w:rsid w:val="00BA247D"/>
    <w:rsid w:val="00BA46F1"/>
    <w:rsid w:val="00BB10C1"/>
    <w:rsid w:val="00BB17FC"/>
    <w:rsid w:val="00BB2E05"/>
    <w:rsid w:val="00BB5074"/>
    <w:rsid w:val="00BB5AD8"/>
    <w:rsid w:val="00BB5FC6"/>
    <w:rsid w:val="00BC1213"/>
    <w:rsid w:val="00BC4D65"/>
    <w:rsid w:val="00BC7898"/>
    <w:rsid w:val="00BD0A57"/>
    <w:rsid w:val="00BD1A01"/>
    <w:rsid w:val="00BD34A2"/>
    <w:rsid w:val="00BE1D44"/>
    <w:rsid w:val="00BE2A33"/>
    <w:rsid w:val="00BE48C5"/>
    <w:rsid w:val="00BE5542"/>
    <w:rsid w:val="00BE749D"/>
    <w:rsid w:val="00BE77AF"/>
    <w:rsid w:val="00BF021E"/>
    <w:rsid w:val="00BF03E8"/>
    <w:rsid w:val="00BF4D83"/>
    <w:rsid w:val="00BF5EE2"/>
    <w:rsid w:val="00BF7487"/>
    <w:rsid w:val="00BF751D"/>
    <w:rsid w:val="00C007AA"/>
    <w:rsid w:val="00C0135B"/>
    <w:rsid w:val="00C013D6"/>
    <w:rsid w:val="00C04002"/>
    <w:rsid w:val="00C05A7F"/>
    <w:rsid w:val="00C10A23"/>
    <w:rsid w:val="00C10CB9"/>
    <w:rsid w:val="00C12B51"/>
    <w:rsid w:val="00C14D4B"/>
    <w:rsid w:val="00C16B7F"/>
    <w:rsid w:val="00C16CAB"/>
    <w:rsid w:val="00C21472"/>
    <w:rsid w:val="00C22B0D"/>
    <w:rsid w:val="00C23AD3"/>
    <w:rsid w:val="00C240C0"/>
    <w:rsid w:val="00C2422B"/>
    <w:rsid w:val="00C26442"/>
    <w:rsid w:val="00C267F7"/>
    <w:rsid w:val="00C27114"/>
    <w:rsid w:val="00C33045"/>
    <w:rsid w:val="00C33079"/>
    <w:rsid w:val="00C3520B"/>
    <w:rsid w:val="00C37BA2"/>
    <w:rsid w:val="00C41963"/>
    <w:rsid w:val="00C44BDF"/>
    <w:rsid w:val="00C45827"/>
    <w:rsid w:val="00C47305"/>
    <w:rsid w:val="00C47BB8"/>
    <w:rsid w:val="00C50588"/>
    <w:rsid w:val="00C522DE"/>
    <w:rsid w:val="00C523F4"/>
    <w:rsid w:val="00C52871"/>
    <w:rsid w:val="00C5288C"/>
    <w:rsid w:val="00C545DC"/>
    <w:rsid w:val="00C57DCA"/>
    <w:rsid w:val="00C60849"/>
    <w:rsid w:val="00C608C8"/>
    <w:rsid w:val="00C60F8F"/>
    <w:rsid w:val="00C6501A"/>
    <w:rsid w:val="00C6576C"/>
    <w:rsid w:val="00C659DA"/>
    <w:rsid w:val="00C66839"/>
    <w:rsid w:val="00C66905"/>
    <w:rsid w:val="00C67C94"/>
    <w:rsid w:val="00C70261"/>
    <w:rsid w:val="00C70E62"/>
    <w:rsid w:val="00C72D4F"/>
    <w:rsid w:val="00C737CC"/>
    <w:rsid w:val="00C73F35"/>
    <w:rsid w:val="00C7441E"/>
    <w:rsid w:val="00C75A28"/>
    <w:rsid w:val="00C768F0"/>
    <w:rsid w:val="00C77AEB"/>
    <w:rsid w:val="00C83A13"/>
    <w:rsid w:val="00C87FD8"/>
    <w:rsid w:val="00C905FB"/>
    <w:rsid w:val="00C91888"/>
    <w:rsid w:val="00C92312"/>
    <w:rsid w:val="00CA37C3"/>
    <w:rsid w:val="00CA3D0C"/>
    <w:rsid w:val="00CA7F1B"/>
    <w:rsid w:val="00CB4A6E"/>
    <w:rsid w:val="00CB4E38"/>
    <w:rsid w:val="00CB4FB2"/>
    <w:rsid w:val="00CB620A"/>
    <w:rsid w:val="00CB69BA"/>
    <w:rsid w:val="00CB7E17"/>
    <w:rsid w:val="00CC126A"/>
    <w:rsid w:val="00CC1E29"/>
    <w:rsid w:val="00CC2235"/>
    <w:rsid w:val="00CC2AB1"/>
    <w:rsid w:val="00CC559E"/>
    <w:rsid w:val="00CC627B"/>
    <w:rsid w:val="00CD0236"/>
    <w:rsid w:val="00CD4C7B"/>
    <w:rsid w:val="00CD5B6D"/>
    <w:rsid w:val="00CD7510"/>
    <w:rsid w:val="00CE0A31"/>
    <w:rsid w:val="00CE1DFE"/>
    <w:rsid w:val="00CE2626"/>
    <w:rsid w:val="00CE4AA6"/>
    <w:rsid w:val="00CE58A8"/>
    <w:rsid w:val="00CE60C3"/>
    <w:rsid w:val="00CF14BD"/>
    <w:rsid w:val="00CF18E5"/>
    <w:rsid w:val="00CF1E09"/>
    <w:rsid w:val="00D0150E"/>
    <w:rsid w:val="00D03023"/>
    <w:rsid w:val="00D06BB5"/>
    <w:rsid w:val="00D07535"/>
    <w:rsid w:val="00D141A8"/>
    <w:rsid w:val="00D14A8D"/>
    <w:rsid w:val="00D1682A"/>
    <w:rsid w:val="00D203BA"/>
    <w:rsid w:val="00D20564"/>
    <w:rsid w:val="00D21307"/>
    <w:rsid w:val="00D2244E"/>
    <w:rsid w:val="00D26759"/>
    <w:rsid w:val="00D26DAD"/>
    <w:rsid w:val="00D27953"/>
    <w:rsid w:val="00D3003E"/>
    <w:rsid w:val="00D30C3E"/>
    <w:rsid w:val="00D310A3"/>
    <w:rsid w:val="00D31757"/>
    <w:rsid w:val="00D31964"/>
    <w:rsid w:val="00D3212F"/>
    <w:rsid w:val="00D338A9"/>
    <w:rsid w:val="00D33ECE"/>
    <w:rsid w:val="00D3495F"/>
    <w:rsid w:val="00D365B9"/>
    <w:rsid w:val="00D4064C"/>
    <w:rsid w:val="00D429B7"/>
    <w:rsid w:val="00D42CA3"/>
    <w:rsid w:val="00D42F63"/>
    <w:rsid w:val="00D42F6C"/>
    <w:rsid w:val="00D45297"/>
    <w:rsid w:val="00D476A6"/>
    <w:rsid w:val="00D47ED8"/>
    <w:rsid w:val="00D50815"/>
    <w:rsid w:val="00D52D09"/>
    <w:rsid w:val="00D5329B"/>
    <w:rsid w:val="00D60AD2"/>
    <w:rsid w:val="00D62CC8"/>
    <w:rsid w:val="00D62D76"/>
    <w:rsid w:val="00D63D3A"/>
    <w:rsid w:val="00D64DA0"/>
    <w:rsid w:val="00D70829"/>
    <w:rsid w:val="00D70CC2"/>
    <w:rsid w:val="00D738D6"/>
    <w:rsid w:val="00D80795"/>
    <w:rsid w:val="00D80C99"/>
    <w:rsid w:val="00D82043"/>
    <w:rsid w:val="00D831B3"/>
    <w:rsid w:val="00D83270"/>
    <w:rsid w:val="00D853EB"/>
    <w:rsid w:val="00D87E00"/>
    <w:rsid w:val="00D9134D"/>
    <w:rsid w:val="00D93803"/>
    <w:rsid w:val="00D93B9E"/>
    <w:rsid w:val="00D94F1C"/>
    <w:rsid w:val="00D94F9F"/>
    <w:rsid w:val="00D95CF9"/>
    <w:rsid w:val="00D96D11"/>
    <w:rsid w:val="00D97702"/>
    <w:rsid w:val="00DA0D80"/>
    <w:rsid w:val="00DA0EAE"/>
    <w:rsid w:val="00DA16AB"/>
    <w:rsid w:val="00DA2ADB"/>
    <w:rsid w:val="00DA3EDB"/>
    <w:rsid w:val="00DA5893"/>
    <w:rsid w:val="00DA64D6"/>
    <w:rsid w:val="00DA7A03"/>
    <w:rsid w:val="00DB04EA"/>
    <w:rsid w:val="00DB1818"/>
    <w:rsid w:val="00DB23EE"/>
    <w:rsid w:val="00DB5C8B"/>
    <w:rsid w:val="00DB75D2"/>
    <w:rsid w:val="00DC1D94"/>
    <w:rsid w:val="00DC309B"/>
    <w:rsid w:val="00DC313D"/>
    <w:rsid w:val="00DC4DA2"/>
    <w:rsid w:val="00DC63E2"/>
    <w:rsid w:val="00DD57E8"/>
    <w:rsid w:val="00DD650B"/>
    <w:rsid w:val="00DE2A09"/>
    <w:rsid w:val="00DE2D84"/>
    <w:rsid w:val="00DF3144"/>
    <w:rsid w:val="00DF416E"/>
    <w:rsid w:val="00DF59E1"/>
    <w:rsid w:val="00DF739E"/>
    <w:rsid w:val="00DF7413"/>
    <w:rsid w:val="00E001D3"/>
    <w:rsid w:val="00E03893"/>
    <w:rsid w:val="00E06A11"/>
    <w:rsid w:val="00E06BC7"/>
    <w:rsid w:val="00E11870"/>
    <w:rsid w:val="00E1486D"/>
    <w:rsid w:val="00E1575F"/>
    <w:rsid w:val="00E16739"/>
    <w:rsid w:val="00E169FC"/>
    <w:rsid w:val="00E175E1"/>
    <w:rsid w:val="00E17B8D"/>
    <w:rsid w:val="00E222AB"/>
    <w:rsid w:val="00E222E6"/>
    <w:rsid w:val="00E223B2"/>
    <w:rsid w:val="00E245FD"/>
    <w:rsid w:val="00E27484"/>
    <w:rsid w:val="00E275A4"/>
    <w:rsid w:val="00E3044D"/>
    <w:rsid w:val="00E32AE2"/>
    <w:rsid w:val="00E33458"/>
    <w:rsid w:val="00E347B0"/>
    <w:rsid w:val="00E4003A"/>
    <w:rsid w:val="00E4045F"/>
    <w:rsid w:val="00E4221B"/>
    <w:rsid w:val="00E43A7B"/>
    <w:rsid w:val="00E43D21"/>
    <w:rsid w:val="00E44EE9"/>
    <w:rsid w:val="00E50EF6"/>
    <w:rsid w:val="00E5230E"/>
    <w:rsid w:val="00E53962"/>
    <w:rsid w:val="00E53A90"/>
    <w:rsid w:val="00E5474E"/>
    <w:rsid w:val="00E552F3"/>
    <w:rsid w:val="00E56154"/>
    <w:rsid w:val="00E57458"/>
    <w:rsid w:val="00E6140C"/>
    <w:rsid w:val="00E621DD"/>
    <w:rsid w:val="00E622D3"/>
    <w:rsid w:val="00E62835"/>
    <w:rsid w:val="00E6294B"/>
    <w:rsid w:val="00E63184"/>
    <w:rsid w:val="00E63E81"/>
    <w:rsid w:val="00E67834"/>
    <w:rsid w:val="00E7222E"/>
    <w:rsid w:val="00E72AF7"/>
    <w:rsid w:val="00E73347"/>
    <w:rsid w:val="00E74369"/>
    <w:rsid w:val="00E743E5"/>
    <w:rsid w:val="00E7504C"/>
    <w:rsid w:val="00E75566"/>
    <w:rsid w:val="00E77645"/>
    <w:rsid w:val="00E779F0"/>
    <w:rsid w:val="00E77E70"/>
    <w:rsid w:val="00E80362"/>
    <w:rsid w:val="00E80B82"/>
    <w:rsid w:val="00E811ED"/>
    <w:rsid w:val="00E82B1D"/>
    <w:rsid w:val="00E83036"/>
    <w:rsid w:val="00E830D4"/>
    <w:rsid w:val="00E85882"/>
    <w:rsid w:val="00E873D7"/>
    <w:rsid w:val="00E915F0"/>
    <w:rsid w:val="00E92666"/>
    <w:rsid w:val="00E92AC9"/>
    <w:rsid w:val="00E92D7E"/>
    <w:rsid w:val="00E93DCB"/>
    <w:rsid w:val="00E9454B"/>
    <w:rsid w:val="00EA05AE"/>
    <w:rsid w:val="00EA07EA"/>
    <w:rsid w:val="00EA1098"/>
    <w:rsid w:val="00EA399D"/>
    <w:rsid w:val="00EA3B90"/>
    <w:rsid w:val="00EA50F9"/>
    <w:rsid w:val="00EA7E4B"/>
    <w:rsid w:val="00EB2948"/>
    <w:rsid w:val="00EB5A64"/>
    <w:rsid w:val="00EC21CB"/>
    <w:rsid w:val="00EC4A25"/>
    <w:rsid w:val="00EC5EB6"/>
    <w:rsid w:val="00ED0BF1"/>
    <w:rsid w:val="00ED2291"/>
    <w:rsid w:val="00ED5488"/>
    <w:rsid w:val="00EE0F99"/>
    <w:rsid w:val="00EE4C68"/>
    <w:rsid w:val="00EE4D8F"/>
    <w:rsid w:val="00EE61A4"/>
    <w:rsid w:val="00EF3DB8"/>
    <w:rsid w:val="00EF6B50"/>
    <w:rsid w:val="00EF6E36"/>
    <w:rsid w:val="00F00FB2"/>
    <w:rsid w:val="00F01491"/>
    <w:rsid w:val="00F025A2"/>
    <w:rsid w:val="00F03C45"/>
    <w:rsid w:val="00F07388"/>
    <w:rsid w:val="00F078C8"/>
    <w:rsid w:val="00F110DD"/>
    <w:rsid w:val="00F114AC"/>
    <w:rsid w:val="00F139BA"/>
    <w:rsid w:val="00F15C41"/>
    <w:rsid w:val="00F168B8"/>
    <w:rsid w:val="00F2026E"/>
    <w:rsid w:val="00F2210A"/>
    <w:rsid w:val="00F2541C"/>
    <w:rsid w:val="00F25B97"/>
    <w:rsid w:val="00F2657B"/>
    <w:rsid w:val="00F26824"/>
    <w:rsid w:val="00F3265E"/>
    <w:rsid w:val="00F326E6"/>
    <w:rsid w:val="00F33057"/>
    <w:rsid w:val="00F35E4F"/>
    <w:rsid w:val="00F360F1"/>
    <w:rsid w:val="00F36371"/>
    <w:rsid w:val="00F37743"/>
    <w:rsid w:val="00F378A0"/>
    <w:rsid w:val="00F40C4F"/>
    <w:rsid w:val="00F4188A"/>
    <w:rsid w:val="00F419F4"/>
    <w:rsid w:val="00F437DA"/>
    <w:rsid w:val="00F52592"/>
    <w:rsid w:val="00F52659"/>
    <w:rsid w:val="00F53DC0"/>
    <w:rsid w:val="00F54A3D"/>
    <w:rsid w:val="00F56F19"/>
    <w:rsid w:val="00F57674"/>
    <w:rsid w:val="00F57A8E"/>
    <w:rsid w:val="00F61B3C"/>
    <w:rsid w:val="00F62492"/>
    <w:rsid w:val="00F62658"/>
    <w:rsid w:val="00F63702"/>
    <w:rsid w:val="00F653B8"/>
    <w:rsid w:val="00F6613D"/>
    <w:rsid w:val="00F71442"/>
    <w:rsid w:val="00F743A2"/>
    <w:rsid w:val="00F746ED"/>
    <w:rsid w:val="00F750A5"/>
    <w:rsid w:val="00F75A5C"/>
    <w:rsid w:val="00F76F8F"/>
    <w:rsid w:val="00F81833"/>
    <w:rsid w:val="00F826F8"/>
    <w:rsid w:val="00F82E70"/>
    <w:rsid w:val="00F83E7E"/>
    <w:rsid w:val="00F86180"/>
    <w:rsid w:val="00F86227"/>
    <w:rsid w:val="00F909AE"/>
    <w:rsid w:val="00F90DC8"/>
    <w:rsid w:val="00F915EF"/>
    <w:rsid w:val="00F93E00"/>
    <w:rsid w:val="00F9469B"/>
    <w:rsid w:val="00F94BEB"/>
    <w:rsid w:val="00F9595C"/>
    <w:rsid w:val="00F95998"/>
    <w:rsid w:val="00F95D88"/>
    <w:rsid w:val="00F9789D"/>
    <w:rsid w:val="00FA0792"/>
    <w:rsid w:val="00FA10BE"/>
    <w:rsid w:val="00FA1266"/>
    <w:rsid w:val="00FA1AA8"/>
    <w:rsid w:val="00FA3571"/>
    <w:rsid w:val="00FA4136"/>
    <w:rsid w:val="00FA5190"/>
    <w:rsid w:val="00FA77EC"/>
    <w:rsid w:val="00FA7EDB"/>
    <w:rsid w:val="00FB0161"/>
    <w:rsid w:val="00FB32A5"/>
    <w:rsid w:val="00FB5B7B"/>
    <w:rsid w:val="00FB66B2"/>
    <w:rsid w:val="00FB7208"/>
    <w:rsid w:val="00FB7D5A"/>
    <w:rsid w:val="00FC1192"/>
    <w:rsid w:val="00FC562B"/>
    <w:rsid w:val="00FC6203"/>
    <w:rsid w:val="00FC6218"/>
    <w:rsid w:val="00FC6C6F"/>
    <w:rsid w:val="00FD00C4"/>
    <w:rsid w:val="00FD03D1"/>
    <w:rsid w:val="00FD1732"/>
    <w:rsid w:val="00FD4976"/>
    <w:rsid w:val="00FD4B91"/>
    <w:rsid w:val="00FD57EC"/>
    <w:rsid w:val="00FD5DB4"/>
    <w:rsid w:val="00FE2651"/>
    <w:rsid w:val="00FE3818"/>
    <w:rsid w:val="00FE6913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2E56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Revision">
    <w:name w:val="Revision"/>
    <w:hidden/>
    <w:uiPriority w:val="99"/>
    <w:semiHidden/>
    <w:rsid w:val="005A36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F9DB0-2F31-41EE-BE15-F21767B6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4738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Jussi Kuusisto</cp:lastModifiedBy>
  <cp:revision>4</cp:revision>
  <dcterms:created xsi:type="dcterms:W3CDTF">2017-08-10T12:17:00Z</dcterms:created>
  <dcterms:modified xsi:type="dcterms:W3CDTF">2017-08-11T11:40:00Z</dcterms:modified>
</cp:coreProperties>
</file>